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59" w:rsidRDefault="00C92A59" w:rsidP="00C92A59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Cs/>
        </w:rPr>
        <w:t xml:space="preserve">                                                                                                 Šilutės Žibų pradinės mokyklos</w:t>
      </w:r>
    </w:p>
    <w:p w:rsidR="00C92A59" w:rsidRDefault="00C92A59" w:rsidP="00C92A59">
      <w:pPr>
        <w:autoSpaceDE w:val="0"/>
        <w:autoSpaceDN w:val="0"/>
        <w:adjustRightInd w:val="0"/>
        <w:ind w:firstLine="1296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  </w:t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  <w:t xml:space="preserve">           darbuotojų darbo apmokėjimo tvarkos</w:t>
      </w:r>
    </w:p>
    <w:p w:rsidR="00C92A59" w:rsidRDefault="00C92A59" w:rsidP="00C92A59">
      <w:pPr>
        <w:autoSpaceDE w:val="0"/>
        <w:autoSpaceDN w:val="0"/>
        <w:adjustRightInd w:val="0"/>
        <w:ind w:firstLine="1296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  <w:t xml:space="preserve">           aprašo</w:t>
      </w:r>
    </w:p>
    <w:p w:rsidR="00C92A59" w:rsidRPr="002214B9" w:rsidRDefault="00C92A59" w:rsidP="00C92A59">
      <w:pPr>
        <w:autoSpaceDE w:val="0"/>
        <w:autoSpaceDN w:val="0"/>
        <w:adjustRightInd w:val="0"/>
        <w:ind w:firstLine="1296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  <w:t xml:space="preserve">           2 priedas </w:t>
      </w:r>
    </w:p>
    <w:p w:rsidR="00C92A59" w:rsidRDefault="00C92A59" w:rsidP="00C92A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92A59" w:rsidRDefault="00C92A59" w:rsidP="00C92A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92A59" w:rsidRDefault="00C92A59" w:rsidP="00C92A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MOKYTOJŲ, PAGALBOS MOKINIUI SPECIALISTŲ, DIREKTORIAUS</w:t>
      </w:r>
    </w:p>
    <w:p w:rsidR="00C92A59" w:rsidRDefault="00C92A59" w:rsidP="00C92A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PAVADUOTOJO PAREIGINĖS ALGOS PASTOVIOJI DALIS</w:t>
      </w:r>
    </w:p>
    <w:p w:rsidR="00C92A59" w:rsidRDefault="00C92A59" w:rsidP="00C92A59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C92A59" w:rsidRDefault="00C92A59" w:rsidP="00C92A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 SKYRIUS</w:t>
      </w:r>
    </w:p>
    <w:p w:rsidR="00C92A59" w:rsidRDefault="00C92A59" w:rsidP="00C92A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DIREKTORIAUS PAVADUOTOJO UGDYMUI  PAREIGINĖS ALGOS </w:t>
      </w:r>
      <w:r>
        <w:rPr>
          <w:b/>
          <w:bCs/>
        </w:rPr>
        <w:t>PASTOVIOSIOS DALIES KOEFICIENTAI</w:t>
      </w:r>
    </w:p>
    <w:p w:rsidR="00C92A59" w:rsidRDefault="00C92A59" w:rsidP="00C92A59">
      <w:pPr>
        <w:autoSpaceDE w:val="0"/>
        <w:autoSpaceDN w:val="0"/>
        <w:adjustRightInd w:val="0"/>
        <w:jc w:val="both"/>
      </w:pP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  <w:r>
        <w:t>1. Direktoriaus pavaduotojo ugdymui pareiginės algos pastoviosios dalies koeficientai: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94"/>
        <w:gridCol w:w="2263"/>
        <w:gridCol w:w="2561"/>
      </w:tblGrid>
      <w:tr w:rsidR="00C92A59" w:rsidRPr="00A24AB9" w:rsidTr="0076645B">
        <w:trPr>
          <w:trHeight w:val="294"/>
        </w:trPr>
        <w:tc>
          <w:tcPr>
            <w:tcW w:w="2250" w:type="dxa"/>
            <w:vMerge w:val="restart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</w:pPr>
            <w:r w:rsidRPr="00A24AB9">
              <w:t>Mokinių skaičius</w:t>
            </w:r>
          </w:p>
        </w:tc>
        <w:tc>
          <w:tcPr>
            <w:tcW w:w="7218" w:type="dxa"/>
            <w:gridSpan w:val="3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center"/>
            </w:pPr>
            <w:r w:rsidRPr="00A24AB9">
              <w:t>Pastoviosios dalies koeficientai (pareiginės algos baziniais dydžiais)</w:t>
            </w:r>
          </w:p>
        </w:tc>
      </w:tr>
      <w:tr w:rsidR="00C92A59" w:rsidRPr="00A24AB9" w:rsidTr="0076645B">
        <w:trPr>
          <w:trHeight w:val="228"/>
        </w:trPr>
        <w:tc>
          <w:tcPr>
            <w:tcW w:w="2250" w:type="dxa"/>
            <w:vMerge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ind w:left="1440"/>
              <w:jc w:val="both"/>
            </w:pPr>
          </w:p>
        </w:tc>
        <w:tc>
          <w:tcPr>
            <w:tcW w:w="7218" w:type="dxa"/>
            <w:gridSpan w:val="3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ind w:left="1440"/>
              <w:jc w:val="both"/>
            </w:pPr>
            <w:r>
              <w:t>P</w:t>
            </w:r>
            <w:r w:rsidRPr="00A24AB9">
              <w:t>edagoginio darbo stažas (metais)</w:t>
            </w:r>
          </w:p>
        </w:tc>
      </w:tr>
      <w:tr w:rsidR="00C92A59" w:rsidRPr="00A24AB9" w:rsidTr="0076645B">
        <w:trPr>
          <w:trHeight w:val="391"/>
        </w:trPr>
        <w:tc>
          <w:tcPr>
            <w:tcW w:w="2250" w:type="dxa"/>
            <w:vMerge/>
            <w:vAlign w:val="center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ind w:left="1440"/>
              <w:jc w:val="both"/>
            </w:pPr>
          </w:p>
        </w:tc>
        <w:tc>
          <w:tcPr>
            <w:tcW w:w="2394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  <w:r w:rsidRPr="00A24AB9">
              <w:t>ki 10</w:t>
            </w:r>
          </w:p>
        </w:tc>
        <w:tc>
          <w:tcPr>
            <w:tcW w:w="2263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  <w:r w:rsidRPr="00A24AB9">
              <w:t>uo daugiau kaip 10 iki 15</w:t>
            </w:r>
          </w:p>
        </w:tc>
        <w:tc>
          <w:tcPr>
            <w:tcW w:w="2561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  <w:r w:rsidRPr="00A24AB9">
              <w:t>augiau kaip 15</w:t>
            </w:r>
          </w:p>
        </w:tc>
      </w:tr>
      <w:tr w:rsidR="00C92A59" w:rsidRPr="00A24AB9" w:rsidTr="0076645B">
        <w:trPr>
          <w:trHeight w:val="217"/>
        </w:trPr>
        <w:tc>
          <w:tcPr>
            <w:tcW w:w="2250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</w:pPr>
            <w:r>
              <w:t>I</w:t>
            </w:r>
            <w:r w:rsidRPr="00A24AB9">
              <w:t>ki 500</w:t>
            </w:r>
          </w:p>
        </w:tc>
        <w:tc>
          <w:tcPr>
            <w:tcW w:w="2394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both"/>
            </w:pPr>
            <w:r w:rsidRPr="00A24AB9">
              <w:t>10,44</w:t>
            </w:r>
          </w:p>
        </w:tc>
        <w:tc>
          <w:tcPr>
            <w:tcW w:w="2263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both"/>
            </w:pPr>
            <w:r w:rsidRPr="00A24AB9">
              <w:t>10,46</w:t>
            </w:r>
          </w:p>
        </w:tc>
        <w:tc>
          <w:tcPr>
            <w:tcW w:w="2561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both"/>
            </w:pPr>
            <w:r w:rsidRPr="00A24AB9">
              <w:t>10,48</w:t>
            </w:r>
          </w:p>
        </w:tc>
      </w:tr>
      <w:tr w:rsidR="00C92A59" w:rsidRPr="00A24AB9" w:rsidTr="0076645B">
        <w:trPr>
          <w:trHeight w:val="222"/>
        </w:trPr>
        <w:tc>
          <w:tcPr>
            <w:tcW w:w="2250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</w:pPr>
            <w:r w:rsidRPr="00A24AB9">
              <w:t>501 ir daugiau</w:t>
            </w:r>
          </w:p>
        </w:tc>
        <w:tc>
          <w:tcPr>
            <w:tcW w:w="2394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both"/>
            </w:pPr>
            <w:r w:rsidRPr="00A24AB9">
              <w:t>10,5</w:t>
            </w:r>
          </w:p>
        </w:tc>
        <w:tc>
          <w:tcPr>
            <w:tcW w:w="2263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both"/>
            </w:pPr>
            <w:r w:rsidRPr="00A24AB9">
              <w:t>10,65</w:t>
            </w:r>
          </w:p>
        </w:tc>
        <w:tc>
          <w:tcPr>
            <w:tcW w:w="2561" w:type="dxa"/>
          </w:tcPr>
          <w:p w:rsidR="00C92A59" w:rsidRPr="00A24AB9" w:rsidRDefault="00C92A59" w:rsidP="0076645B">
            <w:pPr>
              <w:autoSpaceDE w:val="0"/>
              <w:autoSpaceDN w:val="0"/>
              <w:adjustRightInd w:val="0"/>
              <w:jc w:val="both"/>
            </w:pPr>
            <w:r w:rsidRPr="00A24AB9">
              <w:t>10,8</w:t>
            </w:r>
          </w:p>
        </w:tc>
      </w:tr>
    </w:tbl>
    <w:p w:rsidR="00C92A59" w:rsidRDefault="00C92A59" w:rsidP="00C92A59">
      <w:pPr>
        <w:autoSpaceDE w:val="0"/>
        <w:autoSpaceDN w:val="0"/>
        <w:adjustRightInd w:val="0"/>
        <w:ind w:left="1080"/>
        <w:jc w:val="both"/>
      </w:pPr>
      <w:r>
        <w:t>2.</w:t>
      </w:r>
      <w:r w:rsidRPr="001B1C4C">
        <w:rPr>
          <w:sz w:val="23"/>
          <w:szCs w:val="23"/>
        </w:rPr>
        <w:t xml:space="preserve"> </w:t>
      </w:r>
      <w:r w:rsidRPr="001B1C4C">
        <w:t>Pareiginės algos pastoviosios dalies koeficientai</w:t>
      </w:r>
      <w:r>
        <w:t xml:space="preserve"> didinami</w:t>
      </w:r>
      <w:r w:rsidRPr="001B1C4C">
        <w:t xml:space="preserve"> dėl veiklos sudėtingumo:</w:t>
      </w: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  <w:r>
        <w:t xml:space="preserve">2.1. </w:t>
      </w:r>
      <w:r w:rsidRPr="001B1C4C">
        <w:t xml:space="preserve"> </w:t>
      </w:r>
      <w:r w:rsidRPr="00BC0725">
        <w:t>5 procentais</w:t>
      </w:r>
      <w:r>
        <w:t xml:space="preserve"> </w:t>
      </w:r>
      <w:r w:rsidRPr="001B1C4C">
        <w:t>atsakingiems už mokinių, turinčių specialiųjų ugdymosi poreikių, ugdymo org</w:t>
      </w:r>
      <w:r>
        <w:t>anizavimą, jeigu mokykloje</w:t>
      </w:r>
      <w:r w:rsidRPr="001B1C4C">
        <w:t xml:space="preserve"> ugdoma (mokoma) 10 ir daugiau mokinių, dėl įgimtų ar įgytų sutrikimų turinčių didelių ar labai didelių specialiųjų ugdymosi poreikių;</w:t>
      </w: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  <w:r>
        <w:t>2.2. gali būti didinami iki 20 procentų  pagal kitus įstaigos darbo apmokėjimo Apraše nustatytus kriterijus:</w:t>
      </w:r>
    </w:p>
    <w:p w:rsidR="00C92A59" w:rsidRDefault="00C92A59" w:rsidP="00C92A59">
      <w:pPr>
        <w:autoSpaceDE w:val="0"/>
        <w:autoSpaceDN w:val="0"/>
        <w:adjustRightInd w:val="0"/>
        <w:ind w:left="1080"/>
        <w:jc w:val="both"/>
      </w:pPr>
      <w:r>
        <w:t>2.2.1. 5 procentais už  informacinių technologijų diegimo koordinavimą;</w:t>
      </w:r>
    </w:p>
    <w:p w:rsidR="00C92A59" w:rsidRDefault="00C92A59" w:rsidP="00C92A59">
      <w:pPr>
        <w:autoSpaceDE w:val="0"/>
        <w:autoSpaceDN w:val="0"/>
        <w:adjustRightInd w:val="0"/>
        <w:ind w:left="1080"/>
        <w:jc w:val="both"/>
      </w:pPr>
      <w:r>
        <w:t>2.2.2. ir kitais atvejais: už padidintą darbų krūvį ir darbo sudėtingumą.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t xml:space="preserve">3.  </w:t>
      </w:r>
      <w:r>
        <w:rPr>
          <w:lang w:eastAsia="en-US"/>
        </w:rPr>
        <w:t xml:space="preserve">Jeigu </w:t>
      </w:r>
      <w:r w:rsidRPr="006744A5">
        <w:rPr>
          <w:lang w:eastAsia="en-US"/>
        </w:rPr>
        <w:t xml:space="preserve"> </w:t>
      </w:r>
      <w:r>
        <w:rPr>
          <w:lang w:eastAsia="en-US"/>
        </w:rPr>
        <w:t xml:space="preserve">direktoriaus </w:t>
      </w:r>
      <w:r w:rsidRPr="006744A5">
        <w:rPr>
          <w:lang w:eastAsia="en-US"/>
        </w:rPr>
        <w:t>pavaduotojo ugdymui veikla atit</w:t>
      </w:r>
      <w:r>
        <w:rPr>
          <w:lang w:eastAsia="en-US"/>
        </w:rPr>
        <w:t>inka du ir daugiau šio priedo 2</w:t>
      </w:r>
      <w:r w:rsidRPr="006744A5">
        <w:rPr>
          <w:lang w:eastAsia="en-US"/>
        </w:rPr>
        <w:t xml:space="preserve"> punkte nustatytų kriterijų, jo pareiginės algos pastoviosios dalies koeficientas didinamas ne daugiau kaip 25 procentais. </w:t>
      </w:r>
    </w:p>
    <w:p w:rsidR="00C92A59" w:rsidRPr="001B1C4C" w:rsidRDefault="00C92A59" w:rsidP="00C92A59">
      <w:pPr>
        <w:ind w:firstLine="1080"/>
        <w:jc w:val="both"/>
        <w:rPr>
          <w:lang w:eastAsia="en-US"/>
        </w:rPr>
      </w:pPr>
      <w:r>
        <w:t>4. Direktoriaus pavaduotojų ugdymui pareiginės algos pastoviosios dalies koeficientai nustatomi atsižvelgiant į mokinių skaičių einamųjų metų rugsėjo 1 d.</w:t>
      </w: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</w:p>
    <w:p w:rsidR="00C92A59" w:rsidRDefault="00C92A59" w:rsidP="00C92A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 SKYRIUS</w:t>
      </w:r>
    </w:p>
    <w:p w:rsidR="00C92A59" w:rsidRDefault="00C92A59" w:rsidP="00C92A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MOKYTOJŲ DARBO APMOKĖJIMAS</w:t>
      </w:r>
    </w:p>
    <w:p w:rsidR="00C92A59" w:rsidRDefault="00C92A59" w:rsidP="00C92A59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  <w:r>
        <w:t>5.</w:t>
      </w:r>
      <w:r w:rsidRPr="007E2A52">
        <w:rPr>
          <w:sz w:val="23"/>
          <w:szCs w:val="23"/>
        </w:rPr>
        <w:t xml:space="preserve"> </w:t>
      </w:r>
      <w:r w:rsidRPr="007E2A52">
        <w:t>Šiame skyriuje nurodytų darbuotojų pareiginės algos pastoviosios dalies koeficientai:</w:t>
      </w:r>
    </w:p>
    <w:tbl>
      <w:tblPr>
        <w:tblW w:w="965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171"/>
        <w:gridCol w:w="1153"/>
        <w:gridCol w:w="1162"/>
        <w:gridCol w:w="1162"/>
        <w:gridCol w:w="1162"/>
        <w:gridCol w:w="1162"/>
        <w:gridCol w:w="1162"/>
      </w:tblGrid>
      <w:tr w:rsidR="00C92A59" w:rsidRPr="008946F1" w:rsidTr="0076645B">
        <w:trPr>
          <w:trHeight w:val="275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 w:rsidRPr="008946F1">
              <w:t xml:space="preserve">Kvalifikacinė </w:t>
            </w:r>
          </w:p>
          <w:p w:rsidR="00C92A59" w:rsidRPr="008946F1" w:rsidRDefault="00C92A59" w:rsidP="0076645B">
            <w:pPr>
              <w:spacing w:line="252" w:lineRule="auto"/>
            </w:pPr>
            <w:r w:rsidRPr="008946F1">
              <w:t xml:space="preserve">kategorija </w:t>
            </w:r>
          </w:p>
        </w:tc>
        <w:tc>
          <w:tcPr>
            <w:tcW w:w="8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jc w:val="center"/>
            </w:pPr>
            <w:r w:rsidRPr="008946F1">
              <w:t>Pastoviosios dalies koeficientai (pareiginės algos baziniais dydžiais)</w:t>
            </w:r>
          </w:p>
        </w:tc>
      </w:tr>
      <w:tr w:rsidR="00C92A59" w:rsidRPr="008946F1" w:rsidTr="0076645B">
        <w:trPr>
          <w:trHeight w:val="150"/>
        </w:trPr>
        <w:tc>
          <w:tcPr>
            <w:tcW w:w="1523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jc w:val="center"/>
            </w:pPr>
          </w:p>
        </w:tc>
        <w:tc>
          <w:tcPr>
            <w:tcW w:w="8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P</w:t>
            </w:r>
            <w:r w:rsidRPr="008946F1">
              <w:t>edagoginio darbo stažas (metais)</w:t>
            </w:r>
          </w:p>
        </w:tc>
      </w:tr>
      <w:tr w:rsidR="00C92A59" w:rsidRPr="008946F1" w:rsidTr="0076645B">
        <w:trPr>
          <w:trHeight w:val="1121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A59" w:rsidRPr="008946F1" w:rsidRDefault="00C92A59" w:rsidP="0076645B">
            <w:pPr>
              <w:spacing w:line="256" w:lineRule="auto"/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I</w:t>
            </w:r>
            <w:r w:rsidRPr="008946F1">
              <w:t>ki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N</w:t>
            </w:r>
            <w:r w:rsidRPr="008946F1">
              <w:t>uo daugiau kaip 2 iki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N</w:t>
            </w:r>
            <w:r w:rsidRPr="008946F1">
              <w:t>uo daugiau kaip 5 iki 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N</w:t>
            </w:r>
            <w:r w:rsidRPr="008946F1">
              <w:t>uo daugiau kaip 10 iki 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N</w:t>
            </w:r>
            <w:r w:rsidRPr="008946F1">
              <w:t>uo daugiau kaip 15 iki 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N</w:t>
            </w:r>
            <w:r w:rsidRPr="008946F1">
              <w:t>uo daugiau kaip 20 iki 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jc w:val="center"/>
            </w:pPr>
            <w:r>
              <w:t>D</w:t>
            </w:r>
            <w:r w:rsidRPr="008946F1">
              <w:t>augiau kaip 25</w:t>
            </w:r>
          </w:p>
        </w:tc>
      </w:tr>
      <w:tr w:rsidR="00C92A59" w:rsidRPr="008946F1" w:rsidTr="0076645B">
        <w:trPr>
          <w:trHeight w:val="91"/>
        </w:trPr>
        <w:tc>
          <w:tcPr>
            <w:tcW w:w="96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jc w:val="center"/>
            </w:pPr>
            <w:r w:rsidRPr="008946F1">
              <w:t>Nesuteiktos kvalifikacinės kategorijos</w:t>
            </w:r>
          </w:p>
        </w:tc>
      </w:tr>
      <w:tr w:rsidR="00C92A59" w:rsidRPr="008946F1" w:rsidTr="0076645B">
        <w:trPr>
          <w:trHeight w:val="14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 w:rsidRPr="008946F1">
              <w:t>Mokytojas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6,91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6,94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7,42</w:t>
            </w:r>
          </w:p>
        </w:tc>
      </w:tr>
      <w:tr w:rsidR="00C92A59" w:rsidRPr="008946F1" w:rsidTr="0076645B">
        <w:trPr>
          <w:trHeight w:val="276"/>
        </w:trPr>
        <w:tc>
          <w:tcPr>
            <w:tcW w:w="96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jc w:val="center"/>
            </w:pPr>
            <w:r w:rsidRPr="008946F1">
              <w:t>Suteiktos kvalifikacinės kategorijos</w:t>
            </w:r>
          </w:p>
        </w:tc>
      </w:tr>
      <w:tr w:rsidR="00C92A59" w:rsidRPr="008946F1" w:rsidTr="0076645B">
        <w:trPr>
          <w:trHeight w:val="68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 w:rsidRPr="008946F1">
              <w:t>Mokytojas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7,59</w:t>
            </w:r>
          </w:p>
        </w:tc>
      </w:tr>
      <w:tr w:rsidR="00C92A59" w:rsidRPr="008946F1" w:rsidTr="0076645B"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jc w:val="both"/>
            </w:pPr>
            <w:r w:rsidRPr="008946F1">
              <w:t>Vyresnysis mokytojas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ind w:firstLine="62"/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7,6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7,97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8,01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8,05</w:t>
            </w:r>
          </w:p>
        </w:tc>
      </w:tr>
      <w:tr w:rsidR="00C92A59" w:rsidRPr="008946F1" w:rsidTr="0076645B"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jc w:val="both"/>
            </w:pPr>
            <w:r w:rsidRPr="008946F1">
              <w:t>Mokytojas metodininkas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ind w:firstLine="62"/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4" w:lineRule="auto"/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8,12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8,27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8,53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8,57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8,62</w:t>
            </w:r>
          </w:p>
        </w:tc>
      </w:tr>
      <w:tr w:rsidR="00C92A59" w:rsidRPr="008946F1" w:rsidTr="0076645B"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jc w:val="both"/>
            </w:pPr>
            <w:r w:rsidRPr="008946F1">
              <w:lastRenderedPageBreak/>
              <w:t>Mokytojas ekspertas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2" w:lineRule="auto"/>
              <w:ind w:firstLine="62"/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A59" w:rsidRPr="008946F1" w:rsidRDefault="00C92A59" w:rsidP="0076645B">
            <w:pPr>
              <w:spacing w:line="254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9,24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9,39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9,63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</w:pPr>
            <w:r>
              <w:t>9,67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8946F1" w:rsidRDefault="00C92A59" w:rsidP="0076645B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9,71</w:t>
            </w:r>
          </w:p>
        </w:tc>
      </w:tr>
    </w:tbl>
    <w:p w:rsidR="00C92A59" w:rsidRPr="00151C7E" w:rsidRDefault="00C92A59" w:rsidP="00C92A59">
      <w:pPr>
        <w:ind w:firstLine="1080"/>
        <w:jc w:val="both"/>
        <w:rPr>
          <w:lang w:eastAsia="en-US"/>
        </w:rPr>
      </w:pPr>
      <w:r>
        <w:t>6.</w:t>
      </w:r>
      <w:r w:rsidRPr="00151C7E">
        <w:rPr>
          <w:lang w:eastAsia="en-US"/>
        </w:rPr>
        <w:t xml:space="preserve">  Pareiginės algos pastoviosios dalies koeficientai dėl veiklos sudėtingumo mokytojams:</w:t>
      </w:r>
    </w:p>
    <w:p w:rsidR="00C92A59" w:rsidRPr="008F2883" w:rsidRDefault="00C92A59" w:rsidP="00C92A59">
      <w:pPr>
        <w:autoSpaceDE w:val="0"/>
        <w:autoSpaceDN w:val="0"/>
        <w:adjustRightInd w:val="0"/>
        <w:ind w:firstLine="1080"/>
        <w:jc w:val="both"/>
        <w:rPr>
          <w:lang w:eastAsia="en-US"/>
        </w:rPr>
      </w:pPr>
      <w:r w:rsidRPr="008F2883">
        <w:rPr>
          <w:lang w:eastAsia="en-US"/>
        </w:rPr>
        <w:t>6.1. didinami 1-15 procentų: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 w:rsidRPr="008F2883">
        <w:rPr>
          <w:lang w:eastAsia="en-US"/>
        </w:rPr>
        <w:t>6.1.1. dirbantiems bendrojo ugdymo mokyklose, kurių klasėje ugdoma 1 ir daugiau mokinių, dėl įgimtų ar įgytų sutrikimų turinčių vidutinių, didelių ar labai dideli</w:t>
      </w:r>
      <w:r>
        <w:rPr>
          <w:lang w:eastAsia="en-US"/>
        </w:rPr>
        <w:t>ų specialiųjų ugdymosi poreikių:</w:t>
      </w:r>
    </w:p>
    <w:p w:rsidR="00C92A59" w:rsidRDefault="00C92A59" w:rsidP="00C92A59">
      <w:pPr>
        <w:ind w:firstLine="1080"/>
        <w:jc w:val="both"/>
        <w:rPr>
          <w:rFonts w:eastAsia="Calibri"/>
          <w:lang w:eastAsia="en-US"/>
        </w:rPr>
      </w:pPr>
      <w:r w:rsidRPr="004F4970">
        <w:rPr>
          <w:rFonts w:eastAsia="Calibri"/>
          <w:lang w:eastAsia="en-US"/>
        </w:rPr>
        <w:t>6.1.1.1.</w:t>
      </w:r>
    </w:p>
    <w:p w:rsidR="00C92A59" w:rsidRDefault="00C92A59" w:rsidP="00C92A59">
      <w:pPr>
        <w:ind w:firstLine="10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2% </w:t>
      </w:r>
      <w:r>
        <w:t>–</w:t>
      </w:r>
      <w:r w:rsidRPr="004F4970">
        <w:rPr>
          <w:rFonts w:eastAsia="Calibri"/>
          <w:lang w:eastAsia="en-US"/>
        </w:rPr>
        <w:t xml:space="preserve"> dideli ir labai dideli ugdymosi poreikiai už mokinį;</w:t>
      </w:r>
    </w:p>
    <w:p w:rsidR="00C92A59" w:rsidRDefault="00C92A59" w:rsidP="00C92A59">
      <w:pPr>
        <w:ind w:firstLine="1080"/>
        <w:jc w:val="both"/>
        <w:rPr>
          <w:rFonts w:eastAsia="Calibri"/>
          <w:lang w:eastAsia="en-US"/>
        </w:rPr>
      </w:pPr>
      <w:r w:rsidRPr="004F4970">
        <w:rPr>
          <w:rFonts w:eastAsia="Calibri"/>
          <w:lang w:eastAsia="en-US"/>
        </w:rPr>
        <w:t>1</w:t>
      </w:r>
      <w:r>
        <w:rPr>
          <w:rFonts w:eastAsia="Calibri"/>
          <w:lang w:val="en-US" w:eastAsia="en-US"/>
        </w:rPr>
        <w:t xml:space="preserve">% </w:t>
      </w:r>
      <w:r>
        <w:t>–</w:t>
      </w:r>
      <w:r w:rsidRPr="004F4970">
        <w:rPr>
          <w:rFonts w:eastAsia="Calibri"/>
          <w:lang w:val="en-US" w:eastAsia="en-US"/>
        </w:rPr>
        <w:t xml:space="preserve"> vidutiniai ugdymosi poreikiai u</w:t>
      </w:r>
      <w:r w:rsidRPr="004F4970">
        <w:rPr>
          <w:rFonts w:eastAsia="Calibri"/>
          <w:lang w:eastAsia="en-US"/>
        </w:rPr>
        <w:t>ž mokinį;</w:t>
      </w:r>
    </w:p>
    <w:p w:rsidR="00C92A59" w:rsidRDefault="00C92A59" w:rsidP="00C92A59">
      <w:pPr>
        <w:ind w:firstLine="1080"/>
        <w:jc w:val="both"/>
        <w:rPr>
          <w:rFonts w:eastAsia="Calibri"/>
          <w:lang w:eastAsia="en-US"/>
        </w:rPr>
      </w:pPr>
      <w:r w:rsidRPr="004F4970">
        <w:rPr>
          <w:rFonts w:eastAsia="Calibri"/>
          <w:lang w:eastAsia="en-US"/>
        </w:rPr>
        <w:t>0,5%</w:t>
      </w:r>
      <w:r>
        <w:rPr>
          <w:rFonts w:eastAsia="Calibri"/>
          <w:lang w:eastAsia="en-US"/>
        </w:rPr>
        <w:t xml:space="preserve"> </w:t>
      </w:r>
      <w:r>
        <w:t>–</w:t>
      </w:r>
      <w:r w:rsidRPr="004F4970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vidutiniai, </w:t>
      </w:r>
      <w:r w:rsidRPr="004F4970">
        <w:rPr>
          <w:rFonts w:eastAsia="Calibri"/>
          <w:lang w:eastAsia="en-US"/>
        </w:rPr>
        <w:t>dideli ir labai dideli ugdymosi poreikia</w:t>
      </w:r>
      <w:r>
        <w:rPr>
          <w:rFonts w:eastAsia="Calibri"/>
          <w:lang w:eastAsia="en-US"/>
        </w:rPr>
        <w:t>i,</w:t>
      </w:r>
      <w:r w:rsidRPr="004F4970">
        <w:rPr>
          <w:rFonts w:eastAsia="Calibri"/>
          <w:lang w:eastAsia="en-US"/>
        </w:rPr>
        <w:t xml:space="preserve"> mokytojams dalykininkams už kiekvieną mokinį.</w:t>
      </w:r>
    </w:p>
    <w:p w:rsidR="00C92A59" w:rsidRPr="00794B2A" w:rsidRDefault="00C92A59" w:rsidP="00C92A59">
      <w:pPr>
        <w:ind w:firstLine="1080"/>
        <w:jc w:val="both"/>
        <w:rPr>
          <w:rFonts w:eastAsia="Calibri"/>
          <w:lang w:eastAsia="en-US"/>
        </w:rPr>
      </w:pPr>
      <w:r w:rsidRPr="005C0E4A">
        <w:rPr>
          <w:lang w:val="en-US" w:eastAsia="en-US"/>
        </w:rPr>
        <w:t>6.2.</w:t>
      </w:r>
      <w:r w:rsidRPr="005C0E4A">
        <w:rPr>
          <w:lang w:eastAsia="en-US"/>
        </w:rPr>
        <w:t xml:space="preserve"> mokantiems mokinį, kuriam dėl ligos ar patologinės</w:t>
      </w:r>
      <w:r>
        <w:rPr>
          <w:lang w:eastAsia="en-US"/>
        </w:rPr>
        <w:t xml:space="preserve"> būklės skirtas mokymas </w:t>
      </w:r>
      <w:r w:rsidRPr="00794B2A">
        <w:rPr>
          <w:lang w:eastAsia="en-US"/>
        </w:rPr>
        <w:t>namuose</w:t>
      </w:r>
      <w:r w:rsidRPr="00794B2A">
        <w:rPr>
          <w:rFonts w:eastAsia="Calibri"/>
          <w:lang w:eastAsia="en-US"/>
        </w:rPr>
        <w:t xml:space="preserve"> </w:t>
      </w:r>
      <w:r>
        <w:t>–</w:t>
      </w:r>
      <w:r w:rsidRPr="00794B2A">
        <w:rPr>
          <w:rFonts w:eastAsia="Calibri"/>
          <w:lang w:eastAsia="en-US"/>
        </w:rPr>
        <w:t xml:space="preserve"> 4%</w:t>
      </w:r>
      <w:r>
        <w:rPr>
          <w:rFonts w:eastAsia="Calibri"/>
          <w:lang w:eastAsia="en-US"/>
        </w:rPr>
        <w:t>;</w:t>
      </w:r>
    </w:p>
    <w:p w:rsidR="00C92A59" w:rsidRPr="005D77ED" w:rsidRDefault="00C92A59" w:rsidP="00C92A59">
      <w:pPr>
        <w:ind w:firstLine="1080"/>
        <w:jc w:val="both"/>
        <w:rPr>
          <w:color w:val="FF0000"/>
          <w:lang w:eastAsia="en-US"/>
        </w:rPr>
      </w:pPr>
      <w:r>
        <w:rPr>
          <w:lang w:eastAsia="en-US"/>
        </w:rPr>
        <w:t xml:space="preserve">6.3. </w:t>
      </w:r>
      <w:r w:rsidRPr="00244EF6">
        <w:rPr>
          <w:lang w:eastAsia="en-US"/>
        </w:rPr>
        <w:t>mokantiems vieną ir daugiau užsieniečių ar Lietuvos Respublikos piliečių, atvykusių gyventi į Lietuvos Respubliką, nemokančių valstybinės kalbos, dvejus metus nuo mokinio mokymosi pradžios Lietuvos Respublikoje pagal bend</w:t>
      </w:r>
      <w:r>
        <w:rPr>
          <w:lang w:eastAsia="en-US"/>
        </w:rPr>
        <w:t xml:space="preserve">rojo ugdymo  programas </w:t>
      </w:r>
      <w:r>
        <w:t>–</w:t>
      </w:r>
      <w:r w:rsidRPr="007E045C">
        <w:rPr>
          <w:lang w:eastAsia="en-US"/>
        </w:rPr>
        <w:t xml:space="preserve"> 3%;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6.4.</w:t>
      </w:r>
      <w:r w:rsidRPr="00244EF6">
        <w:rPr>
          <w:lang w:eastAsia="en-US"/>
        </w:rPr>
        <w:t xml:space="preserve"> gali būti didinami iki 20 procentų </w:t>
      </w:r>
      <w:r w:rsidRPr="00244EF6">
        <w:rPr>
          <w:color w:val="222222"/>
          <w:lang w:eastAsia="en-US"/>
        </w:rPr>
        <w:t>pagal kitus</w:t>
      </w:r>
      <w:r>
        <w:rPr>
          <w:color w:val="222222"/>
          <w:lang w:eastAsia="en-US"/>
        </w:rPr>
        <w:t xml:space="preserve"> mokyklos</w:t>
      </w:r>
      <w:r>
        <w:rPr>
          <w:lang w:eastAsia="en-US"/>
        </w:rPr>
        <w:t xml:space="preserve"> darbo apmokėjimo Apraše</w:t>
      </w:r>
      <w:r w:rsidRPr="00244EF6">
        <w:rPr>
          <w:lang w:eastAsia="en-US"/>
        </w:rPr>
        <w:t xml:space="preserve"> nustatytus kriterijus</w:t>
      </w:r>
      <w:r>
        <w:rPr>
          <w:lang w:eastAsia="en-US"/>
        </w:rPr>
        <w:t>:</w:t>
      </w:r>
    </w:p>
    <w:p w:rsidR="00C92A59" w:rsidRDefault="00C92A59" w:rsidP="00C92A59">
      <w:pPr>
        <w:ind w:firstLine="1080"/>
        <w:jc w:val="both"/>
        <w:rPr>
          <w:lang w:val="en-US" w:eastAsia="en-US"/>
        </w:rPr>
      </w:pPr>
      <w:r>
        <w:rPr>
          <w:lang w:eastAsia="en-US"/>
        </w:rPr>
        <w:t>6.4.1</w:t>
      </w:r>
      <w:r w:rsidRPr="00E119D6">
        <w:rPr>
          <w:lang w:eastAsia="en-US"/>
        </w:rPr>
        <w:t>. 7</w:t>
      </w:r>
      <w:r w:rsidRPr="00E119D6">
        <w:rPr>
          <w:lang w:val="en-US" w:eastAsia="en-US"/>
        </w:rPr>
        <w:t>%:</w:t>
      </w:r>
    </w:p>
    <w:p w:rsidR="00C92A59" w:rsidRPr="00E119D6" w:rsidRDefault="00C92A59" w:rsidP="00C92A59">
      <w:pPr>
        <w:ind w:firstLine="1080"/>
        <w:jc w:val="both"/>
        <w:rPr>
          <w:lang w:val="en-US" w:eastAsia="en-US"/>
        </w:rPr>
      </w:pPr>
      <w:r w:rsidRPr="00E119D6">
        <w:rPr>
          <w:lang w:val="en-US" w:eastAsia="en-US"/>
        </w:rPr>
        <w:t>jei mokyklos meniniam kolektyvui nustatyta I meninio paj</w:t>
      </w:r>
      <w:r w:rsidRPr="00E119D6">
        <w:rPr>
          <w:lang w:eastAsia="en-US"/>
        </w:rPr>
        <w:t>ėgumo</w:t>
      </w:r>
      <w:r w:rsidRPr="00E119D6">
        <w:rPr>
          <w:lang w:val="en-US" w:eastAsia="en-US"/>
        </w:rPr>
        <w:t xml:space="preserve"> kategorija;</w:t>
      </w:r>
    </w:p>
    <w:p w:rsidR="00C92A59" w:rsidRPr="00E119D6" w:rsidRDefault="00C92A59" w:rsidP="00C92A59">
      <w:pPr>
        <w:ind w:firstLine="1080"/>
        <w:jc w:val="both"/>
        <w:rPr>
          <w:lang w:val="en-US" w:eastAsia="en-US"/>
        </w:rPr>
      </w:pPr>
      <w:r w:rsidRPr="00E119D6">
        <w:rPr>
          <w:lang w:val="en-US" w:eastAsia="en-US"/>
        </w:rPr>
        <w:t>sceninių rūbų priežiūra;</w:t>
      </w:r>
    </w:p>
    <w:p w:rsidR="00C92A59" w:rsidRPr="00E119D6" w:rsidRDefault="00C92A59" w:rsidP="00C92A59">
      <w:pPr>
        <w:ind w:firstLine="1080"/>
        <w:jc w:val="both"/>
        <w:rPr>
          <w:lang w:val="en-US" w:eastAsia="en-US"/>
        </w:rPr>
      </w:pPr>
      <w:r w:rsidRPr="00E119D6">
        <w:rPr>
          <w:lang w:val="en-US" w:eastAsia="en-US"/>
        </w:rPr>
        <w:t>mokyklos renginių įgarsinimas.</w:t>
      </w:r>
    </w:p>
    <w:p w:rsidR="00C92A59" w:rsidRPr="00E119D6" w:rsidRDefault="00C92A59" w:rsidP="00C92A59">
      <w:pPr>
        <w:ind w:firstLine="1080"/>
        <w:jc w:val="both"/>
        <w:rPr>
          <w:lang w:val="en-US" w:eastAsia="en-US"/>
        </w:rPr>
      </w:pPr>
      <w:r w:rsidRPr="00E119D6">
        <w:rPr>
          <w:lang w:val="en-US" w:eastAsia="en-US"/>
        </w:rPr>
        <w:t>6.4.2. 1</w:t>
      </w:r>
      <w:r>
        <w:rPr>
          <w:lang w:val="en-US" w:eastAsia="en-US"/>
        </w:rPr>
        <w:t>5%</w:t>
      </w:r>
      <w:r w:rsidRPr="00E119D6">
        <w:rPr>
          <w:lang w:val="en-US" w:eastAsia="en-US"/>
        </w:rPr>
        <w:t>:</w:t>
      </w:r>
    </w:p>
    <w:p w:rsidR="00C92A59" w:rsidRDefault="00C92A59" w:rsidP="00C92A59">
      <w:pPr>
        <w:ind w:firstLine="1080"/>
        <w:jc w:val="both"/>
        <w:rPr>
          <w:lang w:val="en-US" w:eastAsia="en-US"/>
        </w:rPr>
      </w:pPr>
      <w:r>
        <w:rPr>
          <w:lang w:val="en-US" w:eastAsia="en-US"/>
        </w:rPr>
        <w:t>mokyklos internetin</w:t>
      </w:r>
      <w:r>
        <w:rPr>
          <w:lang w:eastAsia="en-US"/>
        </w:rPr>
        <w:t>ės svetainės koordinavimas (informacijos parengimas, straipsnių rašymas, renginių fotografavimas, informacijos atnaujinimas).</w:t>
      </w:r>
      <w:r>
        <w:rPr>
          <w:lang w:val="en-US" w:eastAsia="en-US"/>
        </w:rPr>
        <w:t xml:space="preserve"> 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val="en-US" w:eastAsia="en-US"/>
        </w:rPr>
        <w:t>6.4.3. 5%-10% europini</w:t>
      </w:r>
      <w:r>
        <w:rPr>
          <w:lang w:eastAsia="en-US"/>
        </w:rPr>
        <w:t>ų, respublikinių projektų koordinatoriui;</w:t>
      </w:r>
    </w:p>
    <w:p w:rsidR="00C92A59" w:rsidRPr="00E119D6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6.4.4.</w:t>
      </w:r>
      <w:r w:rsidRPr="001E15E6">
        <w:rPr>
          <w:lang w:val="en-US" w:eastAsia="en-US"/>
        </w:rPr>
        <w:t xml:space="preserve"> </w:t>
      </w:r>
      <w:r>
        <w:rPr>
          <w:lang w:val="en-US" w:eastAsia="en-US"/>
        </w:rPr>
        <w:t xml:space="preserve">8% </w:t>
      </w:r>
      <w:r>
        <w:t xml:space="preserve">– </w:t>
      </w:r>
      <w:r>
        <w:rPr>
          <w:lang w:val="en-US" w:eastAsia="en-US"/>
        </w:rPr>
        <w:t>mokyklos veiklos kokybės įsivertinimo grupės pirmininkui.</w:t>
      </w:r>
    </w:p>
    <w:p w:rsidR="00C92A59" w:rsidRDefault="00C92A59" w:rsidP="00C92A59">
      <w:pPr>
        <w:ind w:firstLine="1080"/>
        <w:jc w:val="both"/>
        <w:rPr>
          <w:bCs/>
          <w:lang w:eastAsia="en-US"/>
        </w:rPr>
      </w:pPr>
      <w:r>
        <w:rPr>
          <w:lang w:val="en-US" w:eastAsia="en-US"/>
        </w:rPr>
        <w:t xml:space="preserve">7. </w:t>
      </w:r>
      <w:r w:rsidRPr="006C7474">
        <w:rPr>
          <w:lang w:eastAsia="en-US"/>
        </w:rPr>
        <w:t>Jeigu mokytojo, dirbančio pagal bendr</w:t>
      </w:r>
      <w:r>
        <w:rPr>
          <w:lang w:eastAsia="en-US"/>
        </w:rPr>
        <w:t>ojo ugdymo,</w:t>
      </w:r>
      <w:r w:rsidRPr="006C7474">
        <w:rPr>
          <w:lang w:eastAsia="en-US"/>
        </w:rPr>
        <w:t xml:space="preserve"> neformaliojo švietimo program</w:t>
      </w:r>
      <w:r>
        <w:rPr>
          <w:lang w:eastAsia="en-US"/>
        </w:rPr>
        <w:t xml:space="preserve">as </w:t>
      </w:r>
      <w:r w:rsidRPr="006C7474">
        <w:rPr>
          <w:lang w:eastAsia="en-US"/>
        </w:rPr>
        <w:t xml:space="preserve"> veikla ati</w:t>
      </w:r>
      <w:r>
        <w:rPr>
          <w:lang w:eastAsia="en-US"/>
        </w:rPr>
        <w:t>tinka du ir daugiau šio priedo 6</w:t>
      </w:r>
      <w:r w:rsidRPr="006C7474">
        <w:rPr>
          <w:lang w:eastAsia="en-US"/>
        </w:rPr>
        <w:t xml:space="preserve"> punkte nustatytų kriterijų, jo pareiginės algos pastoviosios dalies koeficientas didinamas ne daugiau kaip 25 procentais.</w:t>
      </w:r>
      <w:r w:rsidRPr="006C7474">
        <w:rPr>
          <w:bCs/>
          <w:lang w:eastAsia="en-US"/>
        </w:rPr>
        <w:t xml:space="preserve"> Pareiginės algos pastoviosios dalies koeficientų didinimo dėl veiklos sudėtingumo k</w:t>
      </w:r>
      <w:r>
        <w:rPr>
          <w:bCs/>
          <w:lang w:eastAsia="en-US"/>
        </w:rPr>
        <w:t>riterijai, nurodyti šio priedo 6</w:t>
      </w:r>
      <w:r w:rsidRPr="006C7474">
        <w:rPr>
          <w:bCs/>
          <w:color w:val="1F497D"/>
          <w:lang w:eastAsia="en-US"/>
        </w:rPr>
        <w:t xml:space="preserve"> </w:t>
      </w:r>
      <w:r w:rsidRPr="006C7474">
        <w:rPr>
          <w:bCs/>
          <w:lang w:eastAsia="en-US"/>
        </w:rPr>
        <w:t>punkte, atsižvelgiant į veiklos sudėtingumo apimtį, detalizuojami  įst</w:t>
      </w:r>
      <w:r>
        <w:rPr>
          <w:bCs/>
          <w:lang w:eastAsia="en-US"/>
        </w:rPr>
        <w:t>aigos darbo apmokėjimo Apraše</w:t>
      </w:r>
      <w:r w:rsidRPr="006C7474">
        <w:rPr>
          <w:bCs/>
          <w:lang w:eastAsia="en-US"/>
        </w:rPr>
        <w:t>.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bCs/>
          <w:lang w:eastAsia="en-US"/>
        </w:rPr>
        <w:t xml:space="preserve">8. </w:t>
      </w:r>
      <w:r w:rsidRPr="00666E4A">
        <w:rPr>
          <w:lang w:eastAsia="en-US"/>
        </w:rPr>
        <w:t>Mokytojų, dirbančių pagal bendr</w:t>
      </w:r>
      <w:r>
        <w:rPr>
          <w:lang w:eastAsia="en-US"/>
        </w:rPr>
        <w:t>ojo ugdymo,</w:t>
      </w:r>
      <w:r w:rsidRPr="00666E4A">
        <w:rPr>
          <w:lang w:eastAsia="en-US"/>
        </w:rPr>
        <w:t xml:space="preserve"> neformaliojo švietimo program</w:t>
      </w:r>
      <w:r>
        <w:rPr>
          <w:lang w:eastAsia="en-US"/>
        </w:rPr>
        <w:t xml:space="preserve">as </w:t>
      </w:r>
      <w:r w:rsidRPr="00666E4A">
        <w:rPr>
          <w:lang w:eastAsia="en-US"/>
        </w:rPr>
        <w:t xml:space="preserve"> darbo laikas per savaitę yra 36 valando</w:t>
      </w:r>
      <w:r>
        <w:rPr>
          <w:lang w:eastAsia="en-US"/>
        </w:rPr>
        <w:t>s ugdomajai veiklai planuoti, pasiruošti pamokoms, mokinių mokymosi pasiekimams vertinti, vadovauti klasei</w:t>
      </w:r>
      <w:r w:rsidRPr="00666E4A">
        <w:rPr>
          <w:lang w:eastAsia="en-US"/>
        </w:rPr>
        <w:t>.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9. Mokytojų, dirbančių pagal bendrojo ugdymo, neformaliojo švietimo programas darbo laiką sudaro: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9.1. kontaktinės valandos, skiriamos bendrojo ugdymo srities, formalųjį švietimą papildančio ugdymo programoms įgyvendinti pagal ugdymo planuose numatytas valandas, neformaliojo švietimo programoms – pagal programoje numatytas valandas, ir valandos ugdomajai veiklai planuoti, pasiruošti pamokoms, mokinių mokymosi pasiekimams vertinti, vadovauti klasei;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 xml:space="preserve">9.2. valandos, susijusios su profesiniu tobulėjimu ir su veikla mokyklos bendruomenei:                             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 w:rsidRPr="000145B9">
        <w:rPr>
          <w:rFonts w:eastAsia="Batang"/>
          <w:color w:val="000000"/>
        </w:rPr>
        <w:t>9.2.1. mokyklos bendruomenė mokytojų tarybos posėdyje aptaria ir susitaria dėl valandų, susijusių su profesiniu tobulėjimu ir veikla mokyklos bendruomenei, išskaidymo (</w:t>
      </w:r>
      <w:r>
        <w:rPr>
          <w:rFonts w:eastAsia="Batang"/>
          <w:color w:val="000000"/>
        </w:rPr>
        <w:t>3</w:t>
      </w:r>
      <w:r w:rsidRPr="000145B9">
        <w:rPr>
          <w:rFonts w:eastAsia="Batang"/>
          <w:color w:val="000000"/>
        </w:rPr>
        <w:t xml:space="preserve"> priedas);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 w:rsidRPr="000145B9">
        <w:rPr>
          <w:rFonts w:eastAsia="Batang"/>
          <w:color w:val="000000"/>
        </w:rPr>
        <w:t>9</w:t>
      </w:r>
      <w:r>
        <w:rPr>
          <w:rFonts w:eastAsia="Batang"/>
          <w:color w:val="000000"/>
        </w:rPr>
        <w:t>.2.2. mokytojai pildo lentelę (4</w:t>
      </w:r>
      <w:r w:rsidRPr="000145B9">
        <w:rPr>
          <w:rFonts w:eastAsia="Batang"/>
          <w:color w:val="000000"/>
        </w:rPr>
        <w:t xml:space="preserve"> priedas), kurioje pateikia ir su vadovu suderina valandas, susijusias su profesiniu tobulėjimu ir veikla mokyklos bendruomenei.</w:t>
      </w:r>
    </w:p>
    <w:p w:rsidR="00C92A59" w:rsidRPr="006E5A41" w:rsidRDefault="00C92A59" w:rsidP="00C92A59">
      <w:pPr>
        <w:ind w:firstLine="1080"/>
        <w:jc w:val="both"/>
        <w:rPr>
          <w:lang w:eastAsia="en-US"/>
        </w:rPr>
      </w:pPr>
      <w:r>
        <w:rPr>
          <w:rFonts w:eastAsia="Batang"/>
          <w:color w:val="000000"/>
        </w:rPr>
        <w:t xml:space="preserve">10. </w:t>
      </w:r>
      <w:r w:rsidRPr="00D91CD2">
        <w:rPr>
          <w:rFonts w:eastAsia="Batang"/>
        </w:rPr>
        <w:t xml:space="preserve">Mokytojo, dirbančio pagal bendrojo ugdymo,  neformaliojo švietimo programas </w:t>
      </w:r>
      <w:r>
        <w:rPr>
          <w:rFonts w:eastAsia="Batang"/>
        </w:rPr>
        <w:t>valan</w:t>
      </w:r>
      <w:r w:rsidRPr="00D91CD2">
        <w:rPr>
          <w:rFonts w:eastAsia="Batang"/>
        </w:rPr>
        <w:t>dų skaičius</w:t>
      </w:r>
      <w:r w:rsidRPr="00724447">
        <w:rPr>
          <w:rFonts w:eastAsia="Batang"/>
          <w:color w:val="000000"/>
        </w:rPr>
        <w:t xml:space="preserve"> per mokslo metus: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1843"/>
        <w:gridCol w:w="1559"/>
      </w:tblGrid>
      <w:tr w:rsidR="00C92A59" w:rsidRPr="00D91CD2" w:rsidTr="00C92A5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D91CD2" w:rsidRDefault="00C92A59" w:rsidP="0076645B">
            <w:pPr>
              <w:jc w:val="center"/>
              <w:rPr>
                <w:rFonts w:eastAsia="Batang"/>
              </w:rPr>
            </w:pPr>
            <w:r w:rsidRPr="00D91CD2">
              <w:rPr>
                <w:rFonts w:eastAsia="Batang"/>
              </w:rPr>
              <w:t>Pareigybė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D91CD2" w:rsidRDefault="00C92A59" w:rsidP="0076645B">
            <w:pPr>
              <w:jc w:val="center"/>
              <w:rPr>
                <w:rFonts w:eastAsia="Batang"/>
              </w:rPr>
            </w:pPr>
            <w:r w:rsidRPr="00D91CD2">
              <w:rPr>
                <w:rFonts w:eastAsia="Batang"/>
              </w:rPr>
              <w:t xml:space="preserve">Kontaktinės valandos ir valandos ugdomajai veiklai planuoti, pasiruošti </w:t>
            </w:r>
            <w:r w:rsidRPr="00D91CD2">
              <w:rPr>
                <w:rFonts w:eastAsia="Batang"/>
              </w:rPr>
              <w:lastRenderedPageBreak/>
              <w:t>pamokoms, mokinių mokymosi pasiekimams vertinti, vadovauti klasei (grupei)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D91CD2" w:rsidRDefault="00C92A59" w:rsidP="0076645B">
            <w:pPr>
              <w:jc w:val="center"/>
              <w:rPr>
                <w:rFonts w:eastAsia="Batang"/>
                <w:strike/>
              </w:rPr>
            </w:pPr>
            <w:r w:rsidRPr="00D91CD2">
              <w:rPr>
                <w:rFonts w:eastAsia="Batang"/>
              </w:rPr>
              <w:lastRenderedPageBreak/>
              <w:t xml:space="preserve">Valandos, susijusios su profesiniu </w:t>
            </w:r>
            <w:r w:rsidRPr="00D91CD2">
              <w:rPr>
                <w:rFonts w:eastAsia="Batang"/>
              </w:rPr>
              <w:lastRenderedPageBreak/>
              <w:t>tobulėjimu ir veikla mokyklos bendruomenei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D91CD2" w:rsidRDefault="00C92A59" w:rsidP="0076645B">
            <w:pPr>
              <w:jc w:val="center"/>
              <w:rPr>
                <w:rFonts w:eastAsia="Batang"/>
                <w:strike/>
              </w:rPr>
            </w:pPr>
            <w:r w:rsidRPr="00D91CD2">
              <w:rPr>
                <w:rFonts w:eastAsia="Batang"/>
              </w:rPr>
              <w:lastRenderedPageBreak/>
              <w:t>Iš viso</w:t>
            </w:r>
          </w:p>
        </w:tc>
      </w:tr>
      <w:tr w:rsidR="00C92A59" w:rsidRPr="00D91CD2" w:rsidTr="00C92A5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59" w:rsidRPr="00D91CD2" w:rsidRDefault="00C92A59" w:rsidP="0076645B">
            <w:pPr>
              <w:jc w:val="both"/>
              <w:rPr>
                <w:rFonts w:eastAsia="Batang"/>
              </w:rPr>
            </w:pPr>
            <w:r w:rsidRPr="00D91CD2">
              <w:rPr>
                <w:rFonts w:eastAsia="Batang"/>
              </w:rPr>
              <w:t>Mokytojas (pedagoginis darbo stažas iki 2 metų)</w:t>
            </w:r>
            <w:r>
              <w:rPr>
                <w:rFonts w:eastAsia="Batang"/>
              </w:rPr>
              <w:t>.</w:t>
            </w:r>
            <w:r w:rsidRPr="00D91CD2">
              <w:rPr>
                <w:rFonts w:eastAsia="Batang"/>
              </w:rPr>
              <w:t xml:space="preserve"> Mokytojas</w:t>
            </w:r>
            <w:r>
              <w:rPr>
                <w:rFonts w:eastAsia="Batang"/>
              </w:rPr>
              <w:t>.</w:t>
            </w:r>
          </w:p>
          <w:p w:rsidR="00C92A59" w:rsidRPr="00D91CD2" w:rsidRDefault="00C92A59" w:rsidP="0076645B">
            <w:pPr>
              <w:jc w:val="both"/>
              <w:rPr>
                <w:rFonts w:eastAsia="Batang"/>
              </w:rPr>
            </w:pPr>
            <w:r w:rsidRPr="00D91CD2">
              <w:rPr>
                <w:rFonts w:eastAsia="Batang"/>
              </w:rPr>
              <w:t>Vyresnysis mokytojas</w:t>
            </w:r>
            <w:r>
              <w:rPr>
                <w:rFonts w:eastAsia="Batang"/>
              </w:rPr>
              <w:t>.</w:t>
            </w:r>
          </w:p>
          <w:p w:rsidR="00C92A59" w:rsidRPr="00D91CD2" w:rsidRDefault="00C92A59" w:rsidP="0076645B">
            <w:pPr>
              <w:jc w:val="both"/>
              <w:rPr>
                <w:rFonts w:eastAsia="Batang"/>
              </w:rPr>
            </w:pPr>
            <w:r w:rsidRPr="00D91CD2">
              <w:rPr>
                <w:rFonts w:eastAsia="Batang"/>
              </w:rPr>
              <w:t>Mokytojas metodininkas</w:t>
            </w:r>
            <w:r>
              <w:rPr>
                <w:rFonts w:eastAsia="Batang"/>
              </w:rPr>
              <w:t>.</w:t>
            </w:r>
          </w:p>
          <w:p w:rsidR="00C92A59" w:rsidRPr="00D91CD2" w:rsidRDefault="00C92A59" w:rsidP="0076645B">
            <w:pPr>
              <w:jc w:val="both"/>
              <w:rPr>
                <w:rFonts w:eastAsia="Batang"/>
              </w:rPr>
            </w:pPr>
            <w:r w:rsidRPr="00D91CD2">
              <w:rPr>
                <w:rFonts w:eastAsia="Batang"/>
              </w:rPr>
              <w:t>Mokytojas ekspertas</w:t>
            </w:r>
          </w:p>
          <w:p w:rsidR="00C92A59" w:rsidRPr="00D91CD2" w:rsidRDefault="00C92A59" w:rsidP="0076645B">
            <w:pPr>
              <w:jc w:val="both"/>
              <w:rPr>
                <w:rFonts w:eastAsia="Batang"/>
              </w:rPr>
            </w:pPr>
            <w:r w:rsidRPr="00D91CD2">
              <w:rPr>
                <w:rFonts w:eastAsia="Batang"/>
              </w:rPr>
              <w:t>(pedagoginis darbo stažas nuo daugiau kaip 2 metų)</w:t>
            </w:r>
            <w:r>
              <w:rPr>
                <w:rFonts w:eastAsia="Batang"/>
              </w:rPr>
              <w:t>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59" w:rsidRPr="00D91CD2" w:rsidRDefault="00C92A59" w:rsidP="0076645B">
            <w:pPr>
              <w:rPr>
                <w:rFonts w:eastAsia="Batang"/>
              </w:rPr>
            </w:pPr>
            <w:r w:rsidRPr="00D91CD2">
              <w:rPr>
                <w:rFonts w:eastAsia="Batang"/>
                <w:szCs w:val="22"/>
                <w:lang w:val="en-US"/>
              </w:rPr>
              <w:t>1010</w:t>
            </w:r>
            <w:r>
              <w:rPr>
                <w:rFonts w:eastAsia="Batang"/>
                <w:szCs w:val="22"/>
                <w:lang w:val="en-US"/>
              </w:rPr>
              <w:t>-1</w:t>
            </w:r>
            <w:r w:rsidRPr="00D91CD2">
              <w:rPr>
                <w:rFonts w:eastAsia="Batang"/>
                <w:szCs w:val="22"/>
                <w:lang w:val="en-US"/>
              </w:rPr>
              <w:t>410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9" w:rsidRPr="00D91CD2" w:rsidRDefault="00C92A59" w:rsidP="0076645B">
            <w:pPr>
              <w:rPr>
                <w:rFonts w:eastAsia="Batang"/>
                <w:strike/>
              </w:rPr>
            </w:pPr>
            <w:r w:rsidRPr="00D91CD2">
              <w:rPr>
                <w:rFonts w:eastAsia="Batang"/>
                <w:szCs w:val="22"/>
                <w:lang w:val="en-US"/>
              </w:rPr>
              <w:t>102</w:t>
            </w:r>
            <w:r>
              <w:rPr>
                <w:rFonts w:eastAsia="Batang"/>
                <w:szCs w:val="22"/>
                <w:lang w:val="en-US"/>
              </w:rPr>
              <w:t>-</w:t>
            </w:r>
            <w:r w:rsidRPr="00D91CD2">
              <w:rPr>
                <w:rFonts w:eastAsia="Batang"/>
                <w:szCs w:val="22"/>
                <w:lang w:val="en-US"/>
              </w:rPr>
              <w:t>502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59" w:rsidRPr="00D91CD2" w:rsidRDefault="00C92A59" w:rsidP="0076645B">
            <w:pPr>
              <w:rPr>
                <w:rFonts w:eastAsia="Batang"/>
              </w:rPr>
            </w:pPr>
            <w:r w:rsidRPr="00D91CD2">
              <w:rPr>
                <w:rFonts w:eastAsia="Batang"/>
              </w:rPr>
              <w:t>1512</w:t>
            </w:r>
          </w:p>
        </w:tc>
      </w:tr>
    </w:tbl>
    <w:p w:rsidR="00C92A59" w:rsidRDefault="00C92A59" w:rsidP="00C92A59">
      <w:pPr>
        <w:ind w:firstLine="1134"/>
        <w:jc w:val="both"/>
        <w:rPr>
          <w:rFonts w:eastAsia="Batang"/>
          <w:color w:val="000000"/>
        </w:rPr>
      </w:pPr>
      <w:r>
        <w:rPr>
          <w:lang w:eastAsia="en-US"/>
        </w:rPr>
        <w:t>11.</w:t>
      </w:r>
      <w:r w:rsidRPr="00D91CD2">
        <w:rPr>
          <w:rFonts w:eastAsia="Batang"/>
          <w:color w:val="000000"/>
        </w:rPr>
        <w:t xml:space="preserve"> Mokytojui, dirbančiam pagal bendrojo ugdymo programas, per metus skiriama </w:t>
      </w:r>
      <w:r w:rsidRPr="00D91CD2">
        <w:rPr>
          <w:rFonts w:eastAsia="Batang"/>
        </w:rPr>
        <w:t xml:space="preserve">ne daugiau kaip 888 kontaktinės valandos </w:t>
      </w:r>
      <w:r w:rsidRPr="00D91CD2">
        <w:rPr>
          <w:rFonts w:eastAsia="Batang"/>
          <w:color w:val="000000"/>
        </w:rPr>
        <w:t xml:space="preserve">privalomiems dalykams pagal bendruosius ugdymo planus, kuriuos tvirtina švietimo, mokslo ir sporto ministras, mokyti; tuo atveju ne mažiau kaip 355 valandos skiriamos </w:t>
      </w:r>
      <w:r w:rsidRPr="00D91CD2">
        <w:rPr>
          <w:rFonts w:eastAsia="Batang"/>
        </w:rPr>
        <w:t>ugdomajai veiklai planuoti, pasiruošti pamokoms, mokinių mokymosi pasiekimams vertinti; ne mažiau kaip 152 valandos gali būti skiriamos va</w:t>
      </w:r>
      <w:r>
        <w:rPr>
          <w:rFonts w:eastAsia="Batang"/>
        </w:rPr>
        <w:t>dovauti klasei</w:t>
      </w:r>
      <w:r w:rsidRPr="00D91CD2">
        <w:rPr>
          <w:rFonts w:eastAsia="Batang"/>
          <w:color w:val="000000"/>
        </w:rPr>
        <w:t>.</w:t>
      </w:r>
    </w:p>
    <w:p w:rsidR="00C92A59" w:rsidRDefault="00C92A59" w:rsidP="00C92A59">
      <w:pPr>
        <w:ind w:firstLine="1134"/>
        <w:jc w:val="both"/>
        <w:rPr>
          <w:color w:val="000000"/>
        </w:rPr>
      </w:pPr>
      <w:r>
        <w:rPr>
          <w:lang w:eastAsia="en-US"/>
        </w:rPr>
        <w:t>12.</w:t>
      </w:r>
      <w:r w:rsidRPr="00D91CD2">
        <w:rPr>
          <w:color w:val="000000"/>
        </w:rPr>
        <w:t xml:space="preserve"> </w:t>
      </w:r>
      <w:r w:rsidRPr="00721BBA">
        <w:rPr>
          <w:color w:val="000000"/>
        </w:rPr>
        <w:t xml:space="preserve">Mokytojui (kurio </w:t>
      </w:r>
      <w:r w:rsidRPr="00721BBA">
        <w:t>pedagoginis darbo stažas iki 2 metų</w:t>
      </w:r>
      <w:r w:rsidRPr="00721BBA">
        <w:rPr>
          <w:color w:val="000000"/>
        </w:rPr>
        <w:t>), dirbančiam pagal bendrojo ugdymo programas, per metus skiriama ne daugiau kaip 756 kontaktinės valandos, o dirba</w:t>
      </w:r>
      <w:r>
        <w:rPr>
          <w:color w:val="000000"/>
        </w:rPr>
        <w:t>nčiam pagal</w:t>
      </w:r>
      <w:r w:rsidRPr="00721BBA">
        <w:rPr>
          <w:color w:val="000000"/>
        </w:rPr>
        <w:t xml:space="preserve"> neformaliojo švietimo progra</w:t>
      </w:r>
      <w:r>
        <w:rPr>
          <w:color w:val="000000"/>
        </w:rPr>
        <w:t xml:space="preserve">mas </w:t>
      </w:r>
      <w:r w:rsidRPr="00721BBA">
        <w:rPr>
          <w:color w:val="000000"/>
        </w:rPr>
        <w:t xml:space="preserve"> – ne daugiau kaip 924 kontaktinės valandos</w:t>
      </w:r>
      <w:r>
        <w:rPr>
          <w:color w:val="000000"/>
        </w:rPr>
        <w:t>.</w:t>
      </w:r>
    </w:p>
    <w:p w:rsidR="00C92A59" w:rsidRPr="009C2791" w:rsidRDefault="00C92A59" w:rsidP="00C92A59">
      <w:pPr>
        <w:ind w:firstLine="1134"/>
        <w:jc w:val="both"/>
        <w:rPr>
          <w:rFonts w:eastAsia="Batang"/>
          <w:color w:val="000000"/>
        </w:rPr>
      </w:pPr>
      <w:r>
        <w:rPr>
          <w:lang w:eastAsia="en-US"/>
        </w:rPr>
        <w:t>13.</w:t>
      </w:r>
      <w:r w:rsidRPr="002D76B5">
        <w:rPr>
          <w:lang w:eastAsia="en-US"/>
        </w:rPr>
        <w:t xml:space="preserve"> </w:t>
      </w:r>
      <w:r w:rsidRPr="009C2791">
        <w:rPr>
          <w:rFonts w:eastAsia="Batang"/>
          <w:color w:val="000000"/>
        </w:rPr>
        <w:t xml:space="preserve">Valandų skiriamų ugdomajai veiklai planuoti, pasiruošti </w:t>
      </w:r>
      <w:r w:rsidRPr="009C2791">
        <w:rPr>
          <w:rFonts w:eastAsia="Batang"/>
        </w:rPr>
        <w:t xml:space="preserve">pamokoms ir mokinių mokymosi pasiekimams vertinti, </w:t>
      </w:r>
      <w:r w:rsidRPr="009C2791">
        <w:rPr>
          <w:rFonts w:eastAsia="Batang"/>
          <w:color w:val="000000"/>
        </w:rPr>
        <w:t>skaičius (procentais nuo kontaktinių valandų).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851"/>
        <w:gridCol w:w="1275"/>
        <w:gridCol w:w="851"/>
        <w:gridCol w:w="1276"/>
      </w:tblGrid>
      <w:tr w:rsidR="00C92A59" w:rsidRPr="009C2791" w:rsidTr="0076645B">
        <w:tc>
          <w:tcPr>
            <w:tcW w:w="3227" w:type="dxa"/>
            <w:vMerge w:val="restart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Programa, ugdymo, mokymo sritis, dalykas</w:t>
            </w:r>
          </w:p>
        </w:tc>
        <w:tc>
          <w:tcPr>
            <w:tcW w:w="2977" w:type="dxa"/>
            <w:gridSpan w:val="3"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Mokytojams, kurių darbo stažas iki 2 metų</w:t>
            </w:r>
          </w:p>
        </w:tc>
        <w:tc>
          <w:tcPr>
            <w:tcW w:w="3402" w:type="dxa"/>
            <w:gridSpan w:val="3"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Mokytojams, kurių darbo stažas 2 ir daugiau metų</w:t>
            </w:r>
          </w:p>
        </w:tc>
      </w:tr>
      <w:tr w:rsidR="00C92A59" w:rsidRPr="009C2791" w:rsidTr="0076645B">
        <w:tc>
          <w:tcPr>
            <w:tcW w:w="3227" w:type="dxa"/>
            <w:vMerge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</w:rPr>
              <w:t>mokinių skaičius klasėje (grupėje)</w:t>
            </w:r>
          </w:p>
        </w:tc>
        <w:tc>
          <w:tcPr>
            <w:tcW w:w="3402" w:type="dxa"/>
            <w:gridSpan w:val="3"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</w:rPr>
              <w:t>mokinių skaičius klasėje (grupėje)</w:t>
            </w:r>
          </w:p>
        </w:tc>
      </w:tr>
      <w:tr w:rsidR="00C92A59" w:rsidRPr="009C2791" w:rsidTr="0076645B">
        <w:tc>
          <w:tcPr>
            <w:tcW w:w="3227" w:type="dxa"/>
            <w:vMerge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ne daugiau</w:t>
            </w:r>
          </w:p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kaip 11*</w:t>
            </w:r>
          </w:p>
        </w:tc>
        <w:tc>
          <w:tcPr>
            <w:tcW w:w="992" w:type="dxa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12-20</w:t>
            </w:r>
          </w:p>
        </w:tc>
        <w:tc>
          <w:tcPr>
            <w:tcW w:w="851" w:type="dxa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21 ir daugiau</w:t>
            </w:r>
          </w:p>
        </w:tc>
        <w:tc>
          <w:tcPr>
            <w:tcW w:w="1275" w:type="dxa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ne daugiau</w:t>
            </w:r>
          </w:p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kaip 11*</w:t>
            </w:r>
          </w:p>
        </w:tc>
        <w:tc>
          <w:tcPr>
            <w:tcW w:w="851" w:type="dxa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12-20</w:t>
            </w:r>
          </w:p>
        </w:tc>
        <w:tc>
          <w:tcPr>
            <w:tcW w:w="1276" w:type="dxa"/>
          </w:tcPr>
          <w:p w:rsidR="00C92A59" w:rsidRPr="009C2791" w:rsidRDefault="00C92A59" w:rsidP="0076645B">
            <w:pPr>
              <w:jc w:val="center"/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21 ir daugiau</w:t>
            </w:r>
          </w:p>
        </w:tc>
      </w:tr>
      <w:tr w:rsidR="00C92A59" w:rsidRPr="009C2791" w:rsidTr="0076645B">
        <w:tc>
          <w:tcPr>
            <w:tcW w:w="3227" w:type="dxa"/>
            <w:vAlign w:val="bottom"/>
          </w:tcPr>
          <w:p w:rsidR="00C92A59" w:rsidRPr="009C2791" w:rsidRDefault="00C92A59" w:rsidP="0076645B">
            <w:pPr>
              <w:jc w:val="both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1. Bendrojo ugdymo programų dalykai:</w:t>
            </w:r>
          </w:p>
        </w:tc>
        <w:tc>
          <w:tcPr>
            <w:tcW w:w="6379" w:type="dxa"/>
            <w:gridSpan w:val="6"/>
            <w:vAlign w:val="center"/>
          </w:tcPr>
          <w:p w:rsidR="00C92A59" w:rsidRPr="009C2791" w:rsidRDefault="00C92A59" w:rsidP="0076645B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x</w:t>
            </w:r>
          </w:p>
        </w:tc>
      </w:tr>
      <w:tr w:rsidR="00C92A59" w:rsidRPr="009C2791" w:rsidTr="0076645B">
        <w:tc>
          <w:tcPr>
            <w:tcW w:w="3227" w:type="dxa"/>
            <w:shd w:val="clear" w:color="auto" w:fill="auto"/>
            <w:vAlign w:val="bottom"/>
          </w:tcPr>
          <w:p w:rsidR="00C92A59" w:rsidRPr="009C2791" w:rsidRDefault="00C92A59" w:rsidP="0076645B">
            <w:pPr>
              <w:jc w:val="both"/>
              <w:rPr>
                <w:rFonts w:eastAsia="Batang"/>
                <w:b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1.1. p</w:t>
            </w:r>
            <w:r w:rsidRPr="009C2791">
              <w:rPr>
                <w:rFonts w:eastAsia="Batang"/>
                <w:color w:val="000000"/>
                <w:lang w:eastAsia="en-US"/>
              </w:rPr>
              <w:t>radinis ugdymas (visi dalykai)</w:t>
            </w:r>
            <w:r>
              <w:rPr>
                <w:rFonts w:eastAsia="Batang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A59" w:rsidRPr="009C2791" w:rsidRDefault="00C92A59" w:rsidP="0076645B">
            <w:pPr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A59" w:rsidRPr="009C2791" w:rsidRDefault="00C92A59" w:rsidP="0076645B">
            <w:pPr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A59" w:rsidRPr="009C2791" w:rsidRDefault="00C92A59" w:rsidP="0076645B">
            <w:pPr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A59" w:rsidRPr="009C2791" w:rsidRDefault="00C92A59" w:rsidP="0076645B">
            <w:pPr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A59" w:rsidRPr="009C2791" w:rsidRDefault="00C92A59" w:rsidP="0076645B">
            <w:pPr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A59" w:rsidRPr="009C2791" w:rsidRDefault="00C92A59" w:rsidP="0076645B">
            <w:pPr>
              <w:rPr>
                <w:rFonts w:eastAsia="Batang"/>
                <w:b/>
                <w:color w:val="000000"/>
                <w:lang w:eastAsia="en-US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60</w:t>
            </w:r>
          </w:p>
        </w:tc>
      </w:tr>
      <w:tr w:rsidR="00C92A59" w:rsidRPr="00721BBA" w:rsidTr="0076645B">
        <w:tc>
          <w:tcPr>
            <w:tcW w:w="3227" w:type="dxa"/>
            <w:shd w:val="clear" w:color="auto" w:fill="auto"/>
            <w:vAlign w:val="bottom"/>
          </w:tcPr>
          <w:p w:rsidR="00C92A59" w:rsidRPr="00721BBA" w:rsidRDefault="00C92A59" w:rsidP="0076645B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  <w:r w:rsidRPr="00721BBA">
              <w:rPr>
                <w:color w:val="000000"/>
              </w:rPr>
              <w:t>. Neformaliojo švietimo (išskyrus ikimokyklinio ir priešmokyklinio ugdymo) programos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A59" w:rsidRPr="00721BBA" w:rsidRDefault="00C92A59" w:rsidP="0076645B">
            <w:pPr>
              <w:rPr>
                <w:b/>
                <w:color w:val="000000"/>
              </w:rPr>
            </w:pPr>
            <w:r w:rsidRPr="00721BBA">
              <w:rPr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A59" w:rsidRPr="00721BBA" w:rsidRDefault="00C92A59" w:rsidP="0076645B">
            <w:pPr>
              <w:rPr>
                <w:b/>
                <w:color w:val="000000"/>
              </w:rPr>
            </w:pPr>
            <w:r w:rsidRPr="00721BBA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A59" w:rsidRPr="00721BBA" w:rsidRDefault="00C92A59" w:rsidP="0076645B">
            <w:pPr>
              <w:rPr>
                <w:b/>
                <w:color w:val="000000"/>
              </w:rPr>
            </w:pPr>
            <w:r w:rsidRPr="00721BBA">
              <w:rPr>
                <w:color w:val="00000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A59" w:rsidRPr="00721BBA" w:rsidRDefault="00C92A59" w:rsidP="0076645B">
            <w:pPr>
              <w:rPr>
                <w:b/>
                <w:color w:val="000000"/>
              </w:rPr>
            </w:pPr>
            <w:r w:rsidRPr="00721BBA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A59" w:rsidRPr="00721BBA" w:rsidRDefault="00C92A59" w:rsidP="0076645B">
            <w:pPr>
              <w:rPr>
                <w:b/>
                <w:color w:val="000000"/>
              </w:rPr>
            </w:pPr>
            <w:r w:rsidRPr="00721BBA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A59" w:rsidRPr="00721BBA" w:rsidRDefault="00C92A59" w:rsidP="0076645B">
            <w:pPr>
              <w:rPr>
                <w:b/>
                <w:color w:val="000000"/>
              </w:rPr>
            </w:pPr>
            <w:r w:rsidRPr="00721BBA">
              <w:rPr>
                <w:color w:val="000000"/>
              </w:rPr>
              <w:t>44</w:t>
            </w:r>
          </w:p>
        </w:tc>
      </w:tr>
    </w:tbl>
    <w:p w:rsidR="00C92A59" w:rsidRPr="009C2791" w:rsidRDefault="00C92A59" w:rsidP="00C92A59">
      <w:pPr>
        <w:ind w:firstLine="1134"/>
        <w:rPr>
          <w:rFonts w:eastAsia="Batang"/>
          <w:b/>
          <w:caps/>
        </w:rPr>
      </w:pPr>
      <w:r>
        <w:t xml:space="preserve">14. </w:t>
      </w:r>
      <w:r w:rsidRPr="009C2791">
        <w:rPr>
          <w:rFonts w:eastAsia="Batang"/>
        </w:rPr>
        <w:t>Mokytojui skiriamų valandų, skirtų vadovauti klasei, skaičius per mokslo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10"/>
        <w:gridCol w:w="1404"/>
        <w:gridCol w:w="1404"/>
      </w:tblGrid>
      <w:tr w:rsidR="00C92A59" w:rsidRPr="009C2791" w:rsidTr="0076645B">
        <w:trPr>
          <w:trHeight w:val="337"/>
        </w:trPr>
        <w:tc>
          <w:tcPr>
            <w:tcW w:w="5382" w:type="dxa"/>
          </w:tcPr>
          <w:p w:rsidR="00C92A59" w:rsidRPr="009C2791" w:rsidRDefault="00C92A59" w:rsidP="0076645B">
            <w:pPr>
              <w:rPr>
                <w:rFonts w:eastAsia="Batang"/>
              </w:rPr>
            </w:pPr>
            <w:r w:rsidRPr="009C2791">
              <w:rPr>
                <w:rFonts w:eastAsia="Batang"/>
              </w:rPr>
              <w:t>Mokinių skaičius klasėje (grupėje)</w:t>
            </w:r>
          </w:p>
        </w:tc>
        <w:tc>
          <w:tcPr>
            <w:tcW w:w="1417" w:type="dxa"/>
          </w:tcPr>
          <w:p w:rsidR="00C92A59" w:rsidRPr="009C2791" w:rsidRDefault="00C92A59" w:rsidP="0076645B">
            <w:pPr>
              <w:jc w:val="center"/>
              <w:rPr>
                <w:rFonts w:eastAsia="Batang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ne daugiau kaip 11</w:t>
            </w:r>
          </w:p>
        </w:tc>
        <w:tc>
          <w:tcPr>
            <w:tcW w:w="1418" w:type="dxa"/>
          </w:tcPr>
          <w:p w:rsidR="00C92A59" w:rsidRPr="009C2791" w:rsidRDefault="00C92A59" w:rsidP="0076645B">
            <w:pPr>
              <w:jc w:val="center"/>
              <w:rPr>
                <w:rFonts w:eastAsia="Batang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12-20</w:t>
            </w:r>
          </w:p>
        </w:tc>
        <w:tc>
          <w:tcPr>
            <w:tcW w:w="1411" w:type="dxa"/>
          </w:tcPr>
          <w:p w:rsidR="00C92A59" w:rsidRPr="009C2791" w:rsidRDefault="00C92A59" w:rsidP="0076645B">
            <w:pPr>
              <w:jc w:val="center"/>
              <w:rPr>
                <w:rFonts w:eastAsia="Batang"/>
              </w:rPr>
            </w:pPr>
            <w:r w:rsidRPr="009C2791">
              <w:rPr>
                <w:rFonts w:eastAsia="Batang"/>
                <w:color w:val="000000"/>
                <w:lang w:eastAsia="en-US"/>
              </w:rPr>
              <w:t>21 ir daugiau</w:t>
            </w:r>
          </w:p>
        </w:tc>
      </w:tr>
      <w:tr w:rsidR="00C92A59" w:rsidRPr="009C2791" w:rsidTr="0076645B">
        <w:tc>
          <w:tcPr>
            <w:tcW w:w="5382" w:type="dxa"/>
            <w:vAlign w:val="center"/>
          </w:tcPr>
          <w:p w:rsidR="00C92A59" w:rsidRPr="009C2791" w:rsidRDefault="00C92A59" w:rsidP="0076645B">
            <w:pPr>
              <w:jc w:val="both"/>
              <w:rPr>
                <w:rFonts w:eastAsia="Batang"/>
              </w:rPr>
            </w:pPr>
            <w:r w:rsidRPr="009C2791">
              <w:rPr>
                <w:rFonts w:eastAsia="Batang"/>
              </w:rPr>
              <w:t>Valandų, skiriamų vadovauti klasei (grupei), skaičius mokytojui per mokslo metus</w:t>
            </w:r>
          </w:p>
        </w:tc>
        <w:tc>
          <w:tcPr>
            <w:tcW w:w="1417" w:type="dxa"/>
          </w:tcPr>
          <w:p w:rsidR="00C92A59" w:rsidRPr="009C2791" w:rsidRDefault="00C92A59" w:rsidP="0076645B">
            <w:pPr>
              <w:rPr>
                <w:rFonts w:eastAsia="Batang"/>
              </w:rPr>
            </w:pPr>
            <w:r w:rsidRPr="009C2791">
              <w:rPr>
                <w:rFonts w:eastAsia="Batang"/>
              </w:rPr>
              <w:t>152</w:t>
            </w:r>
          </w:p>
        </w:tc>
        <w:tc>
          <w:tcPr>
            <w:tcW w:w="1418" w:type="dxa"/>
          </w:tcPr>
          <w:p w:rsidR="00C92A59" w:rsidRPr="009C2791" w:rsidRDefault="00C92A59" w:rsidP="0076645B">
            <w:pPr>
              <w:rPr>
                <w:rFonts w:eastAsia="Batang"/>
              </w:rPr>
            </w:pPr>
            <w:r w:rsidRPr="009C2791">
              <w:rPr>
                <w:rFonts w:eastAsia="Batang"/>
              </w:rPr>
              <w:t>180</w:t>
            </w:r>
          </w:p>
        </w:tc>
        <w:tc>
          <w:tcPr>
            <w:tcW w:w="1411" w:type="dxa"/>
          </w:tcPr>
          <w:p w:rsidR="00C92A59" w:rsidRPr="009C2791" w:rsidRDefault="00C92A59" w:rsidP="0076645B">
            <w:pPr>
              <w:rPr>
                <w:rFonts w:eastAsia="Batang"/>
              </w:rPr>
            </w:pPr>
            <w:r w:rsidRPr="009C2791">
              <w:rPr>
                <w:rFonts w:eastAsia="Batang"/>
              </w:rPr>
              <w:t>210</w:t>
            </w:r>
          </w:p>
        </w:tc>
      </w:tr>
    </w:tbl>
    <w:p w:rsidR="00C92A59" w:rsidRDefault="00C92A59" w:rsidP="00C92A59">
      <w:pPr>
        <w:ind w:firstLine="1134"/>
        <w:jc w:val="both"/>
        <w:rPr>
          <w:rFonts w:eastAsia="Batang"/>
          <w:bCs/>
          <w:lang w:eastAsia="en-US"/>
        </w:rPr>
      </w:pPr>
      <w:r>
        <w:rPr>
          <w:rFonts w:eastAsia="Batang"/>
          <w:caps/>
          <w:color w:val="000000"/>
          <w:lang w:eastAsia="en-US"/>
        </w:rPr>
        <w:t>15.</w:t>
      </w:r>
      <w:r w:rsidRPr="00D021A3">
        <w:rPr>
          <w:rFonts w:eastAsia="Batang"/>
          <w:color w:val="000000"/>
        </w:rPr>
        <w:t xml:space="preserve"> Mokytojo, dirbančio pagal bendrojo ugdymo ir neformalaus švietimo (išskyrus ikimokyklinio ir priešmokyklinio ugdymo programas) darbo krūvio sandara (</w:t>
      </w:r>
      <w:r w:rsidRPr="00D021A3">
        <w:rPr>
          <w:rFonts w:eastAsia="Batang"/>
        </w:rPr>
        <w:t>5 priedas</w:t>
      </w:r>
      <w:r w:rsidRPr="00D021A3">
        <w:rPr>
          <w:rFonts w:eastAsia="Batang"/>
          <w:color w:val="000000"/>
        </w:rPr>
        <w:t>) sudaroma</w:t>
      </w:r>
      <w:r>
        <w:rPr>
          <w:rFonts w:eastAsia="Batang"/>
          <w:color w:val="000000"/>
        </w:rPr>
        <w:t>s</w:t>
      </w:r>
      <w:r w:rsidRPr="00D021A3">
        <w:rPr>
          <w:rFonts w:eastAsia="Batang"/>
          <w:color w:val="000000"/>
        </w:rPr>
        <w:t xml:space="preserve"> vadovaujantis </w:t>
      </w:r>
      <w:r w:rsidRPr="00D021A3">
        <w:rPr>
          <w:rFonts w:eastAsia="Batang"/>
          <w:bCs/>
          <w:lang w:eastAsia="en-US"/>
        </w:rPr>
        <w:t xml:space="preserve">Lietuvos Respublikos švietimo, mokslo ir sporto ministro </w:t>
      </w:r>
      <w:r w:rsidRPr="00D021A3">
        <w:rPr>
          <w:rFonts w:eastAsia="Batang"/>
          <w:lang w:eastAsia="en-US"/>
        </w:rPr>
        <w:t xml:space="preserve">2019 m. kovo 1 d. </w:t>
      </w:r>
      <w:r w:rsidRPr="00D021A3">
        <w:rPr>
          <w:rFonts w:eastAsia="Batang"/>
          <w:bCs/>
          <w:lang w:eastAsia="en-US"/>
        </w:rPr>
        <w:t>įsakymu N</w:t>
      </w:r>
      <w:r w:rsidRPr="00D021A3">
        <w:rPr>
          <w:rFonts w:eastAsia="Batang"/>
          <w:lang w:eastAsia="en-US"/>
        </w:rPr>
        <w:t>r. V-186</w:t>
      </w:r>
      <w:r>
        <w:rPr>
          <w:rFonts w:eastAsia="Batang"/>
          <w:bCs/>
          <w:lang w:eastAsia="en-US"/>
        </w:rPr>
        <w:t xml:space="preserve"> „</w:t>
      </w:r>
      <w:r w:rsidRPr="00D021A3">
        <w:rPr>
          <w:rFonts w:eastAsia="Batang"/>
          <w:bCs/>
          <w:lang w:eastAsia="en-US"/>
        </w:rPr>
        <w:t xml:space="preserve">Dėl </w:t>
      </w:r>
      <w:r w:rsidRPr="00D021A3">
        <w:rPr>
          <w:rFonts w:eastAsia="Batang"/>
          <w:lang w:eastAsia="en-US"/>
        </w:rPr>
        <w:t>mokytojų, dirbančių pagal bendrojo ugdymo, profesinio mokymo ir neformaliojo švietimo programas (išskyrus ikimokyklinio ir priešmokyklinio ugdymo programas), darbo krūvio sandaros nustatymo tvarkos aprašo patvirtinimo</w:t>
      </w:r>
      <w:r>
        <w:rPr>
          <w:rFonts w:eastAsia="Batang"/>
          <w:bCs/>
          <w:lang w:eastAsia="en-US"/>
        </w:rPr>
        <w:t>“</w:t>
      </w:r>
      <w:r w:rsidRPr="00D021A3">
        <w:rPr>
          <w:rFonts w:eastAsia="Batang"/>
          <w:bCs/>
          <w:lang w:eastAsia="en-US"/>
        </w:rPr>
        <w:t>. Krūvio sandara su kiekvienu darbuotoju derinama individualiai.</w:t>
      </w:r>
    </w:p>
    <w:p w:rsidR="00C92A59" w:rsidRDefault="00C92A59" w:rsidP="00C92A59">
      <w:pPr>
        <w:ind w:firstLine="1134"/>
        <w:jc w:val="both"/>
        <w:rPr>
          <w:rFonts w:eastAsia="Batang"/>
          <w:bCs/>
          <w:lang w:eastAsia="en-US"/>
        </w:rPr>
      </w:pPr>
    </w:p>
    <w:p w:rsidR="00C92A59" w:rsidRDefault="00C92A59" w:rsidP="00C92A59">
      <w:pPr>
        <w:ind w:firstLine="1134"/>
        <w:jc w:val="both"/>
        <w:rPr>
          <w:rFonts w:eastAsia="Batang"/>
          <w:bCs/>
          <w:lang w:eastAsia="en-US"/>
        </w:rPr>
      </w:pPr>
    </w:p>
    <w:p w:rsidR="00C92A59" w:rsidRDefault="00C92A59" w:rsidP="00C92A59">
      <w:pPr>
        <w:ind w:firstLine="1134"/>
        <w:jc w:val="both"/>
        <w:rPr>
          <w:rFonts w:eastAsia="Batang"/>
          <w:bCs/>
          <w:lang w:eastAsia="en-US"/>
        </w:rPr>
      </w:pPr>
    </w:p>
    <w:p w:rsidR="00C92A59" w:rsidRDefault="00C92A59" w:rsidP="00C92A59">
      <w:pPr>
        <w:ind w:firstLine="1134"/>
        <w:jc w:val="both"/>
        <w:rPr>
          <w:rFonts w:eastAsia="Batang"/>
          <w:bCs/>
          <w:lang w:eastAsia="en-US"/>
        </w:rPr>
      </w:pPr>
    </w:p>
    <w:p w:rsidR="00C92A59" w:rsidRPr="00D021A3" w:rsidRDefault="00C92A59" w:rsidP="00C92A59">
      <w:pPr>
        <w:ind w:firstLine="1134"/>
        <w:jc w:val="both"/>
        <w:rPr>
          <w:rFonts w:eastAsia="Batang"/>
          <w:lang w:eastAsia="en-US"/>
        </w:rPr>
      </w:pPr>
    </w:p>
    <w:p w:rsidR="00C92A59" w:rsidRPr="00AD4FE7" w:rsidRDefault="00C92A59" w:rsidP="00C92A59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III </w:t>
      </w:r>
      <w:r w:rsidRPr="00AD4FE7">
        <w:rPr>
          <w:b/>
          <w:lang w:eastAsia="en-US"/>
        </w:rPr>
        <w:t>SKYRIUS</w:t>
      </w:r>
    </w:p>
    <w:p w:rsidR="00C92A59" w:rsidRPr="00AD4FE7" w:rsidRDefault="00C92A59" w:rsidP="00C92A59">
      <w:pPr>
        <w:jc w:val="center"/>
        <w:rPr>
          <w:b/>
          <w:lang w:eastAsia="en-US"/>
        </w:rPr>
      </w:pPr>
      <w:r w:rsidRPr="00AD4FE7">
        <w:rPr>
          <w:b/>
          <w:lang w:eastAsia="en-US"/>
        </w:rPr>
        <w:t>SPECIA</w:t>
      </w:r>
      <w:r>
        <w:rPr>
          <w:b/>
          <w:lang w:eastAsia="en-US"/>
        </w:rPr>
        <w:t>LIŲJŲ PEDAGOGŲ, LOGOPEDŲ</w:t>
      </w:r>
      <w:r w:rsidRPr="00AD4FE7">
        <w:rPr>
          <w:b/>
          <w:lang w:eastAsia="en-US"/>
        </w:rPr>
        <w:t xml:space="preserve"> PAREIGINIŲ ALGŲ PASTOVIOSIOS DALIES KOEFICIENTAI IR DARBO KRŪVIO SANDARA </w:t>
      </w:r>
    </w:p>
    <w:p w:rsidR="00C92A59" w:rsidRPr="00AD4FE7" w:rsidRDefault="00C92A59" w:rsidP="00C92A59">
      <w:pPr>
        <w:ind w:firstLine="720"/>
        <w:jc w:val="center"/>
        <w:rPr>
          <w:lang w:eastAsia="en-US"/>
        </w:rPr>
      </w:pPr>
    </w:p>
    <w:p w:rsidR="00C92A59" w:rsidRPr="00C82E08" w:rsidRDefault="00C92A59" w:rsidP="00C92A59">
      <w:pPr>
        <w:ind w:firstLine="1080"/>
        <w:jc w:val="both"/>
        <w:rPr>
          <w:sz w:val="14"/>
          <w:szCs w:val="14"/>
          <w:lang w:eastAsia="en-US"/>
        </w:rPr>
      </w:pPr>
      <w:r>
        <w:rPr>
          <w:lang w:eastAsia="en-US"/>
        </w:rPr>
        <w:t xml:space="preserve">16. </w:t>
      </w:r>
      <w:r w:rsidRPr="00C82E08">
        <w:rPr>
          <w:lang w:eastAsia="en-US"/>
        </w:rPr>
        <w:t xml:space="preserve">Šiame skyriuje nurodytų darbuotojų pareiginės algos pastoviosios dalies koeficientai: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808"/>
        <w:gridCol w:w="1080"/>
        <w:gridCol w:w="1559"/>
        <w:gridCol w:w="1643"/>
        <w:gridCol w:w="2558"/>
      </w:tblGrid>
      <w:tr w:rsidR="00C92A59" w:rsidRPr="00C82E08" w:rsidTr="0076645B">
        <w:trPr>
          <w:trHeight w:val="239"/>
          <w:tblHeader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 w:rsidRPr="00C82E08">
              <w:rPr>
                <w:color w:val="000000"/>
              </w:rPr>
              <w:t>Pareigybė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 w:rsidRPr="00C82E08">
              <w:rPr>
                <w:color w:val="000000"/>
              </w:rPr>
              <w:t>Pastoviosios dalies koeficientai</w:t>
            </w:r>
            <w:r>
              <w:rPr>
                <w:color w:val="000000"/>
              </w:rPr>
              <w:t xml:space="preserve"> </w:t>
            </w:r>
            <w:r w:rsidRPr="00C82E08">
              <w:rPr>
                <w:color w:val="000000"/>
              </w:rPr>
              <w:t>(pareiginės algos baziniais dydžiais)</w:t>
            </w:r>
          </w:p>
        </w:tc>
      </w:tr>
      <w:tr w:rsidR="00C92A59" w:rsidRPr="00C82E08" w:rsidTr="0076645B">
        <w:trPr>
          <w:trHeight w:val="177"/>
          <w:tblHeader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82E08">
              <w:rPr>
                <w:color w:val="000000"/>
              </w:rPr>
              <w:t>edagoginio darbo stažas (metais)</w:t>
            </w:r>
          </w:p>
        </w:tc>
      </w:tr>
      <w:tr w:rsidR="00C92A59" w:rsidRPr="00C82E08" w:rsidTr="0076645B">
        <w:trPr>
          <w:trHeight w:val="409"/>
          <w:tblHeader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C82E08">
              <w:rPr>
                <w:color w:val="000000"/>
              </w:rPr>
              <w:t>ki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C82E08">
              <w:rPr>
                <w:color w:val="000000"/>
              </w:rPr>
              <w:t>uo daugiau kaip 3 iki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C82E08">
              <w:rPr>
                <w:color w:val="000000"/>
              </w:rPr>
              <w:t>uo daugiau kaip 10 iki 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82E08">
              <w:rPr>
                <w:color w:val="000000"/>
              </w:rPr>
              <w:t>augiau kaip 15</w:t>
            </w:r>
          </w:p>
        </w:tc>
      </w:tr>
      <w:tr w:rsidR="00C92A59" w:rsidRPr="00C82E08" w:rsidTr="0076645B">
        <w:trPr>
          <w:trHeight w:val="30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 w:rsidRPr="00C82E08">
              <w:rPr>
                <w:color w:val="000000"/>
              </w:rPr>
              <w:t>Nesuteiktos kvalifikacinės kategorijos</w:t>
            </w:r>
          </w:p>
        </w:tc>
      </w:tr>
      <w:tr w:rsidR="00C92A59" w:rsidRPr="00C82E08" w:rsidTr="0076645B">
        <w:trPr>
          <w:trHeight w:val="41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both"/>
            </w:pPr>
            <w:r w:rsidRPr="00C82E08">
              <w:t>S</w:t>
            </w:r>
            <w:r>
              <w:t>pecialusis pedagogas, logopedas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5</w:t>
            </w:r>
            <w:r w:rsidRPr="00C42A30"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5</w:t>
            </w:r>
            <w:r w:rsidRPr="00C42A30">
              <w:t>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5</w:t>
            </w:r>
            <w:r w:rsidRPr="00C42A30">
              <w:t>,</w:t>
            </w:r>
            <w: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</w:t>
            </w:r>
            <w:r>
              <w:t>0</w:t>
            </w:r>
          </w:p>
        </w:tc>
      </w:tr>
      <w:tr w:rsidR="00C92A59" w:rsidRPr="00C82E08" w:rsidTr="0076645B">
        <w:trPr>
          <w:trHeight w:val="2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  <w:ind w:firstLine="62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</w:pPr>
            <w:r>
              <w:t xml:space="preserve">       </w:t>
            </w:r>
            <w:r w:rsidRPr="00C82E08">
              <w:t>Pedagoginio darbo stažas (metais)</w:t>
            </w:r>
          </w:p>
        </w:tc>
      </w:tr>
      <w:tr w:rsidR="00C92A59" w:rsidRPr="00C82E08" w:rsidTr="0076645B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  <w:ind w:firstLine="62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</w:pPr>
            <w:r>
              <w:t>I</w:t>
            </w:r>
            <w:r w:rsidRPr="00C82E08">
              <w:t>ki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</w:pPr>
            <w:r>
              <w:t>N</w:t>
            </w:r>
            <w:r w:rsidRPr="00C82E08">
              <w:t>uo daugiau kaip 10 iki 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center"/>
            </w:pPr>
            <w:r>
              <w:t>D</w:t>
            </w:r>
            <w:r w:rsidRPr="00C82E08">
              <w:t>augiau kaip 15</w:t>
            </w:r>
          </w:p>
        </w:tc>
      </w:tr>
      <w:tr w:rsidR="00C92A59" w:rsidRPr="00C82E08" w:rsidTr="0076645B">
        <w:trPr>
          <w:trHeight w:val="30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2E08" w:rsidRDefault="00C92A59" w:rsidP="0076645B">
            <w:pPr>
              <w:spacing w:line="254" w:lineRule="auto"/>
              <w:jc w:val="center"/>
            </w:pPr>
            <w:r w:rsidRPr="00C82E08">
              <w:t>Suteiktos kvalifikacinės kategorijos</w:t>
            </w:r>
          </w:p>
        </w:tc>
      </w:tr>
      <w:tr w:rsidR="00C92A59" w:rsidRPr="00C42A30" w:rsidTr="0076645B">
        <w:trPr>
          <w:trHeight w:val="58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both"/>
            </w:pPr>
            <w:r w:rsidRPr="00C82E08">
              <w:t>Specialusis pedago</w:t>
            </w:r>
            <w:r>
              <w:t>gas, logopedas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C42A30">
              <w:t>,47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5</w:t>
            </w:r>
            <w:r w:rsidRPr="00C42A30">
              <w:t>,</w:t>
            </w:r>
            <w: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</w:t>
            </w:r>
            <w:r>
              <w:t>02</w:t>
            </w:r>
          </w:p>
        </w:tc>
      </w:tr>
      <w:tr w:rsidR="00C92A59" w:rsidRPr="00C42A30" w:rsidTr="0076645B">
        <w:trPr>
          <w:trHeight w:val="8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both"/>
            </w:pPr>
            <w:r w:rsidRPr="00C82E08">
              <w:t>Vyresnysis specialusis pedagogas, vyresnysi</w:t>
            </w:r>
            <w:r>
              <w:t>s logopedas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,23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,45</w:t>
            </w:r>
          </w:p>
        </w:tc>
      </w:tr>
      <w:tr w:rsidR="00C92A59" w:rsidRPr="00C42A30" w:rsidTr="0076645B">
        <w:trPr>
          <w:trHeight w:val="7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both"/>
            </w:pPr>
            <w:r w:rsidRPr="00C82E08">
              <w:t>Specialusis pedagogas</w:t>
            </w:r>
            <w:r w:rsidRPr="00C82E08">
              <w:rPr>
                <w:lang w:eastAsia="en-US"/>
              </w:rPr>
              <w:t xml:space="preserve"> </w:t>
            </w:r>
            <w:r w:rsidRPr="00C82E08">
              <w:t>metodininkas, logopedas</w:t>
            </w:r>
            <w:r w:rsidRPr="00C82E08">
              <w:rPr>
                <w:lang w:eastAsia="en-US"/>
              </w:rPr>
              <w:t xml:space="preserve"> </w:t>
            </w:r>
            <w:r>
              <w:t>metodininkas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 w:rsidRPr="00C42A30">
              <w:t>6</w:t>
            </w:r>
            <w:r>
              <w:t>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,77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6</w:t>
            </w:r>
            <w:r w:rsidRPr="00C42A30">
              <w:t>,92</w:t>
            </w:r>
          </w:p>
        </w:tc>
      </w:tr>
      <w:tr w:rsidR="00C92A59" w:rsidRPr="00C42A30" w:rsidTr="0076645B">
        <w:trPr>
          <w:trHeight w:val="3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C82E08" w:rsidRDefault="00C92A59" w:rsidP="0076645B">
            <w:pPr>
              <w:spacing w:line="254" w:lineRule="auto"/>
              <w:jc w:val="both"/>
            </w:pPr>
            <w:r w:rsidRPr="00C82E08">
              <w:t>Specialusis pedagogas ekspertas, logopedas</w:t>
            </w:r>
            <w:r w:rsidRPr="00C82E08">
              <w:rPr>
                <w:lang w:eastAsia="en-US"/>
              </w:rPr>
              <w:t xml:space="preserve"> </w:t>
            </w:r>
            <w:r>
              <w:t>ekspertas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7</w:t>
            </w:r>
            <w:r w:rsidRPr="00C42A30">
              <w:t>,38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7</w:t>
            </w:r>
            <w:r w:rsidRPr="00C42A30">
              <w:t>,46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C42A30" w:rsidRDefault="00C92A59" w:rsidP="0076645B">
            <w:pPr>
              <w:spacing w:line="254" w:lineRule="auto"/>
            </w:pPr>
            <w:r>
              <w:t>7</w:t>
            </w:r>
            <w:r w:rsidRPr="00C42A30">
              <w:t>,</w:t>
            </w:r>
            <w:r>
              <w:t>7</w:t>
            </w:r>
          </w:p>
        </w:tc>
      </w:tr>
    </w:tbl>
    <w:p w:rsidR="00C92A59" w:rsidRPr="00D01FB7" w:rsidRDefault="00C92A59" w:rsidP="00C92A59">
      <w:pPr>
        <w:ind w:firstLine="1080"/>
        <w:jc w:val="both"/>
        <w:rPr>
          <w:lang w:eastAsia="en-US"/>
        </w:rPr>
      </w:pPr>
      <w:r>
        <w:t xml:space="preserve">17. </w:t>
      </w:r>
      <w:r w:rsidRPr="00D01FB7">
        <w:rPr>
          <w:lang w:eastAsia="en-US"/>
        </w:rPr>
        <w:t>Pareiginės algos pastoviosios dalies koeficientai dėl veiklos sudėtingumo specialie</w:t>
      </w:r>
      <w:r>
        <w:rPr>
          <w:lang w:eastAsia="en-US"/>
        </w:rPr>
        <w:t>siems pedagogams, logopedams</w:t>
      </w:r>
      <w:r w:rsidRPr="00D01FB7">
        <w:rPr>
          <w:lang w:eastAsia="en-US"/>
        </w:rPr>
        <w:t xml:space="preserve">: </w:t>
      </w:r>
    </w:p>
    <w:p w:rsidR="00C92A59" w:rsidRPr="00D01FB7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17</w:t>
      </w:r>
      <w:r w:rsidRPr="00D01FB7">
        <w:rPr>
          <w:lang w:eastAsia="en-US"/>
        </w:rPr>
        <w:t>.1. didinami 5 procentais:</w:t>
      </w:r>
    </w:p>
    <w:p w:rsidR="00C92A59" w:rsidRPr="00A36DD1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17</w:t>
      </w:r>
      <w:r w:rsidRPr="00D01FB7">
        <w:rPr>
          <w:lang w:eastAsia="en-US"/>
        </w:rPr>
        <w:t>.1.1. dirbantie</w:t>
      </w:r>
      <w:r>
        <w:rPr>
          <w:lang w:eastAsia="en-US"/>
        </w:rPr>
        <w:t xml:space="preserve">ms su mokiniais </w:t>
      </w:r>
      <w:r w:rsidRPr="00D01FB7">
        <w:rPr>
          <w:lang w:eastAsia="en-US"/>
        </w:rPr>
        <w:t xml:space="preserve"> tur</w:t>
      </w:r>
      <w:r>
        <w:rPr>
          <w:lang w:eastAsia="en-US"/>
        </w:rPr>
        <w:t xml:space="preserve">intiems </w:t>
      </w:r>
      <w:r w:rsidRPr="00D01FB7">
        <w:rPr>
          <w:lang w:eastAsia="en-US"/>
        </w:rPr>
        <w:t xml:space="preserve"> specialiųjų ugdymosi poreikių; </w:t>
      </w:r>
    </w:p>
    <w:p w:rsidR="00C92A59" w:rsidRPr="00F84893" w:rsidRDefault="00C92A59" w:rsidP="00C92A59">
      <w:pPr>
        <w:ind w:firstLine="1080"/>
        <w:jc w:val="both"/>
        <w:rPr>
          <w:sz w:val="23"/>
          <w:szCs w:val="23"/>
          <w:lang w:eastAsia="en-US"/>
        </w:rPr>
      </w:pPr>
      <w:r w:rsidRPr="00F84893">
        <w:rPr>
          <w:sz w:val="23"/>
          <w:szCs w:val="23"/>
          <w:lang w:eastAsia="en-US"/>
        </w:rPr>
        <w:t>17.1.2. teikiantiems specialiąją pedagoginę pagalbą mokiniams, kuriems dėl ligos ar patologinės būklės skirtas mokymas namuose;</w:t>
      </w:r>
    </w:p>
    <w:p w:rsidR="00C92A59" w:rsidRPr="00F84893" w:rsidRDefault="00C92A59" w:rsidP="00C92A59">
      <w:pPr>
        <w:ind w:firstLine="1080"/>
        <w:jc w:val="both"/>
        <w:rPr>
          <w:sz w:val="23"/>
          <w:szCs w:val="23"/>
          <w:lang w:eastAsia="en-US"/>
        </w:rPr>
      </w:pPr>
      <w:r w:rsidRPr="00F84893">
        <w:rPr>
          <w:sz w:val="23"/>
          <w:szCs w:val="23"/>
          <w:lang w:eastAsia="en-US"/>
        </w:rPr>
        <w:t>17.1.3. didinama 10</w:t>
      </w:r>
      <w:r w:rsidRPr="00F84893">
        <w:rPr>
          <w:sz w:val="23"/>
          <w:szCs w:val="23"/>
          <w:lang w:val="en-US"/>
        </w:rPr>
        <w:t>%</w:t>
      </w:r>
      <w:r w:rsidRPr="00F84893">
        <w:rPr>
          <w:sz w:val="23"/>
          <w:szCs w:val="23"/>
        </w:rPr>
        <w:t xml:space="preserve"> už padidėjusį virškrūvį, respublikinių, europinių projektų vykdymą.</w:t>
      </w:r>
    </w:p>
    <w:p w:rsidR="00C92A59" w:rsidRPr="00F84893" w:rsidRDefault="00C92A59" w:rsidP="00C92A59">
      <w:pPr>
        <w:ind w:firstLine="1080"/>
        <w:jc w:val="both"/>
        <w:rPr>
          <w:sz w:val="23"/>
          <w:szCs w:val="23"/>
        </w:rPr>
      </w:pPr>
      <w:r w:rsidRPr="00F84893">
        <w:rPr>
          <w:sz w:val="23"/>
          <w:szCs w:val="23"/>
          <w:lang w:eastAsia="en-US"/>
        </w:rPr>
        <w:t xml:space="preserve">18. Specialiųjų pedagogų, logopedų, </w:t>
      </w:r>
      <w:r w:rsidRPr="00F84893">
        <w:rPr>
          <w:sz w:val="23"/>
          <w:szCs w:val="23"/>
        </w:rPr>
        <w:t xml:space="preserve">dirbančių mokyklose, darbo laikas per savaitę yra 23 valandos, iš jų 18 valandų skiriama tiesioginiam darbui su mokiniais (mokinių specialiesiems ugdymosi poreikiams tirti ir įvertinti, specialiosioms pratyboms vesti), 5 valandos – netiesioginiam darbui su mokiniais (darbams planuoti, pasirengti specialiosioms pratyboms, pagalbai mokytojams rengiant ugdymo programas, mokytojams, tėvams (globėjams, rūpintojams) konsultuoti specialiųjų ugdymosi poreikių turinčių mokinių ugdymo klausimais, </w:t>
      </w:r>
      <w:r w:rsidRPr="00F84893">
        <w:rPr>
          <w:color w:val="000000"/>
          <w:sz w:val="23"/>
          <w:szCs w:val="23"/>
        </w:rPr>
        <w:t>dokumentams, susijusiems su ugdymu, rengti</w:t>
      </w:r>
      <w:r w:rsidRPr="00F84893">
        <w:rPr>
          <w:sz w:val="23"/>
          <w:szCs w:val="23"/>
        </w:rPr>
        <w:t xml:space="preserve"> ir kt.). </w:t>
      </w:r>
    </w:p>
    <w:p w:rsidR="00C92A59" w:rsidRPr="00F84893" w:rsidRDefault="00C92A59" w:rsidP="00C92A59">
      <w:pPr>
        <w:ind w:firstLine="1080"/>
        <w:jc w:val="both"/>
        <w:rPr>
          <w:sz w:val="23"/>
          <w:szCs w:val="23"/>
        </w:rPr>
      </w:pPr>
    </w:p>
    <w:p w:rsidR="00C92A59" w:rsidRPr="00F84893" w:rsidRDefault="00C92A59" w:rsidP="00C92A59">
      <w:pPr>
        <w:jc w:val="center"/>
        <w:rPr>
          <w:b/>
          <w:sz w:val="23"/>
          <w:szCs w:val="23"/>
          <w:lang w:eastAsia="en-US"/>
        </w:rPr>
      </w:pPr>
      <w:r w:rsidRPr="00F84893">
        <w:rPr>
          <w:b/>
          <w:sz w:val="23"/>
          <w:szCs w:val="23"/>
          <w:lang w:eastAsia="en-US"/>
        </w:rPr>
        <w:t>IV SKYRIUS</w:t>
      </w:r>
    </w:p>
    <w:p w:rsidR="00C92A59" w:rsidRPr="00F84893" w:rsidRDefault="00C92A59" w:rsidP="00C92A59">
      <w:pPr>
        <w:jc w:val="center"/>
        <w:rPr>
          <w:b/>
          <w:sz w:val="23"/>
          <w:szCs w:val="23"/>
          <w:lang w:eastAsia="en-US"/>
        </w:rPr>
      </w:pPr>
      <w:r w:rsidRPr="00F84893">
        <w:rPr>
          <w:b/>
          <w:sz w:val="23"/>
          <w:szCs w:val="23"/>
          <w:lang w:eastAsia="en-US"/>
        </w:rPr>
        <w:t>PSICHOLOGŲ ASISTENTŲ, PSICHOLOGŲ, SOCIALINIŲ PEDAGOGŲ   PAREIGINIŲ ALGŲ PASTOVIOSIOS DALIES KOEFICIENTAI</w:t>
      </w:r>
    </w:p>
    <w:p w:rsidR="00C92A59" w:rsidRPr="00F84893" w:rsidRDefault="00C92A59" w:rsidP="00C92A59">
      <w:pPr>
        <w:jc w:val="center"/>
        <w:rPr>
          <w:b/>
          <w:sz w:val="23"/>
          <w:szCs w:val="23"/>
          <w:lang w:eastAsia="en-US"/>
        </w:rPr>
      </w:pPr>
    </w:p>
    <w:p w:rsidR="00C92A59" w:rsidRPr="00F84893" w:rsidRDefault="00C92A59" w:rsidP="00C92A59">
      <w:pPr>
        <w:ind w:firstLine="1080"/>
        <w:jc w:val="both"/>
        <w:rPr>
          <w:sz w:val="23"/>
          <w:szCs w:val="23"/>
          <w:lang w:eastAsia="en-US"/>
        </w:rPr>
      </w:pPr>
      <w:r w:rsidRPr="00F84893">
        <w:rPr>
          <w:sz w:val="23"/>
          <w:szCs w:val="23"/>
          <w:lang w:eastAsia="en-US"/>
        </w:rPr>
        <w:t>19. Šiame skyriuje nurodytų darbuotojų pareiginės algos pastoviosios dalies koeficientai: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2808"/>
        <w:gridCol w:w="953"/>
        <w:gridCol w:w="1567"/>
        <w:gridCol w:w="1609"/>
        <w:gridCol w:w="2700"/>
      </w:tblGrid>
      <w:tr w:rsidR="00C92A59" w:rsidRPr="00D507FC" w:rsidTr="0076645B">
        <w:trPr>
          <w:trHeight w:val="27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rPr>
                <w:color w:val="000000"/>
              </w:rPr>
            </w:pPr>
            <w:r w:rsidRPr="00D507FC">
              <w:rPr>
                <w:color w:val="000000"/>
              </w:rPr>
              <w:t>Pareigybė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 w:rsidRPr="00D507F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astoviosios dalies koeficientai </w:t>
            </w:r>
            <w:r w:rsidRPr="00D507FC">
              <w:rPr>
                <w:color w:val="000000"/>
              </w:rPr>
              <w:t>(pareiginės algos baziniais dydžiais)</w:t>
            </w:r>
          </w:p>
        </w:tc>
      </w:tr>
      <w:tr w:rsidR="00C92A59" w:rsidRPr="00D507FC" w:rsidTr="0076645B">
        <w:trPr>
          <w:trHeight w:val="243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D507FC">
              <w:rPr>
                <w:color w:val="000000"/>
              </w:rPr>
              <w:t>edagoginio darbo stažas (metais)</w:t>
            </w:r>
          </w:p>
        </w:tc>
      </w:tr>
      <w:tr w:rsidR="00C92A59" w:rsidRPr="00D507FC" w:rsidTr="0076645B">
        <w:trPr>
          <w:trHeight w:val="258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D507FC">
              <w:rPr>
                <w:color w:val="000000"/>
              </w:rPr>
              <w:t>ki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07FC">
              <w:rPr>
                <w:color w:val="000000"/>
              </w:rPr>
              <w:t>uo daugiau kaip 3 iki 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07FC">
              <w:rPr>
                <w:color w:val="000000"/>
              </w:rPr>
              <w:t>uo daugiau kaip 10 iki 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D507FC">
              <w:rPr>
                <w:color w:val="000000"/>
              </w:rPr>
              <w:t>augiau kaip 15</w:t>
            </w:r>
          </w:p>
        </w:tc>
      </w:tr>
      <w:tr w:rsidR="00C92A59" w:rsidRPr="00D507FC" w:rsidTr="0076645B">
        <w:trPr>
          <w:trHeight w:val="300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jc w:val="center"/>
              <w:rPr>
                <w:color w:val="000000"/>
              </w:rPr>
            </w:pPr>
            <w:r w:rsidRPr="00D507FC">
              <w:rPr>
                <w:color w:val="000000"/>
              </w:rPr>
              <w:t>Nesuteiktos kvalifikacinės kategorijos</w:t>
            </w:r>
          </w:p>
        </w:tc>
      </w:tr>
      <w:tr w:rsidR="00C92A59" w:rsidRPr="00D507FC" w:rsidTr="0076645B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</w:pPr>
            <w:r w:rsidRPr="00D507FC">
              <w:lastRenderedPageBreak/>
              <w:t>Psichologo asistentas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</w:pPr>
            <w:r>
              <w:t>5</w:t>
            </w:r>
            <w:r w:rsidRPr="00D507FC">
              <w:t>,18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,21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,3</w:t>
            </w:r>
          </w:p>
        </w:tc>
      </w:tr>
      <w:tr w:rsidR="00C92A59" w:rsidRPr="00D507FC" w:rsidTr="0076645B">
        <w:trPr>
          <w:trHeight w:val="2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S</w:t>
            </w:r>
            <w:r w:rsidRPr="00D507FC">
              <w:t>ocialinis pedagogas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,67</w:t>
            </w:r>
            <w:r w:rsidRPr="00D507FC">
              <w:rPr>
                <w:strike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,87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rPr>
                <w:strike/>
              </w:rPr>
            </w:pPr>
            <w:r>
              <w:t>5</w:t>
            </w:r>
            <w:r w:rsidRPr="00D507FC">
              <w:t>,95</w:t>
            </w:r>
          </w:p>
        </w:tc>
      </w:tr>
      <w:tr w:rsidR="00C92A59" w:rsidRPr="00D507FC" w:rsidTr="0076645B">
        <w:trPr>
          <w:trHeight w:val="315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jc w:val="center"/>
            </w:pPr>
            <w:r w:rsidRPr="00D507FC">
              <w:t>Pedagoginio darbo stažas (metais)</w:t>
            </w:r>
          </w:p>
        </w:tc>
      </w:tr>
      <w:tr w:rsidR="00C92A59" w:rsidRPr="00D507FC" w:rsidTr="0076645B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ind w:firstLine="62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</w:pPr>
            <w:r>
              <w:t>I</w:t>
            </w:r>
            <w:r w:rsidRPr="00D507FC">
              <w:t>ki 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</w:pPr>
            <w:r>
              <w:t>N</w:t>
            </w:r>
            <w:r w:rsidRPr="00D507FC">
              <w:t>uo daugiau kaip 10 iki 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center"/>
            </w:pPr>
            <w:r>
              <w:t>D</w:t>
            </w:r>
            <w:r w:rsidRPr="00D507FC">
              <w:t>augiau kaip 15</w:t>
            </w:r>
          </w:p>
        </w:tc>
      </w:tr>
      <w:tr w:rsidR="00C92A59" w:rsidRPr="00D507FC" w:rsidTr="0076645B">
        <w:trPr>
          <w:trHeight w:val="133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D507FC" w:rsidRDefault="00C92A59" w:rsidP="0076645B">
            <w:pPr>
              <w:spacing w:line="254" w:lineRule="auto"/>
              <w:jc w:val="center"/>
            </w:pPr>
            <w:r w:rsidRPr="00D507FC">
              <w:t>Suteiktos kvalifikacinės kategorijos</w:t>
            </w:r>
          </w:p>
        </w:tc>
      </w:tr>
      <w:tr w:rsidR="00C92A59" w:rsidRPr="00D507FC" w:rsidTr="0076645B">
        <w:trPr>
          <w:trHeight w:val="5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both"/>
            </w:pPr>
            <w:r>
              <w:t>S</w:t>
            </w:r>
            <w:r w:rsidRPr="00D507FC">
              <w:t>ocialinis pedagogas, ketvirtos kategorijos psichologas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5</w:t>
            </w:r>
            <w:r w:rsidRPr="00D507FC">
              <w:t>,8</w:t>
            </w:r>
            <w: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6</w:t>
            </w:r>
            <w:r w:rsidRPr="00D507FC">
              <w:t>,</w:t>
            </w:r>
            <w:r>
              <w:t>0</w:t>
            </w:r>
            <w:r w:rsidRPr="00D507FC">
              <w:t xml:space="preserve">6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6</w:t>
            </w:r>
            <w:r w:rsidRPr="00D507FC">
              <w:t>,13</w:t>
            </w:r>
          </w:p>
        </w:tc>
      </w:tr>
      <w:tr w:rsidR="00C92A59" w:rsidRPr="00D507FC" w:rsidTr="0076645B">
        <w:trPr>
          <w:trHeight w:val="5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both"/>
            </w:pPr>
            <w:r>
              <w:t>V</w:t>
            </w:r>
            <w:r w:rsidRPr="00D507FC">
              <w:t>yresnysis socialinis pedagogas, trečios kategorijos psichologas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6</w:t>
            </w:r>
            <w:r w:rsidRPr="00D507FC">
              <w:t>,55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6</w:t>
            </w:r>
            <w:r w:rsidRPr="00D507FC">
              <w:t>,6</w:t>
            </w:r>
            <w:r>
              <w:t>3</w:t>
            </w:r>
            <w:r w:rsidRPr="00D507FC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6</w:t>
            </w:r>
            <w:r w:rsidRPr="00D507FC">
              <w:t>,83</w:t>
            </w:r>
          </w:p>
        </w:tc>
      </w:tr>
      <w:tr w:rsidR="00C92A59" w:rsidRPr="00D507FC" w:rsidTr="0076645B">
        <w:trPr>
          <w:trHeight w:val="5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both"/>
            </w:pPr>
            <w:r>
              <w:t xml:space="preserve"> S</w:t>
            </w:r>
            <w:r w:rsidRPr="00D507FC">
              <w:t>ocialinis pedagogas</w:t>
            </w:r>
            <w:r w:rsidRPr="00D507FC">
              <w:rPr>
                <w:lang w:eastAsia="en-US"/>
              </w:rPr>
              <w:t xml:space="preserve"> </w:t>
            </w:r>
            <w:r w:rsidRPr="00D507FC">
              <w:t>metodininkas, antros kategorijos psichologas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7</w:t>
            </w:r>
            <w:r w:rsidRPr="00D507FC">
              <w:t>,14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7</w:t>
            </w:r>
            <w:r w:rsidRPr="00D507FC">
              <w:t xml:space="preserve">,29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7</w:t>
            </w:r>
            <w:r w:rsidRPr="00D507FC">
              <w:t xml:space="preserve">,48 </w:t>
            </w:r>
          </w:p>
        </w:tc>
      </w:tr>
      <w:tr w:rsidR="00C92A59" w:rsidRPr="00D507FC" w:rsidTr="0076645B">
        <w:trPr>
          <w:trHeight w:val="4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  <w:jc w:val="both"/>
            </w:pPr>
            <w:r>
              <w:t>S</w:t>
            </w:r>
            <w:r w:rsidRPr="00D507FC">
              <w:t>ocialinis pedagogas</w:t>
            </w:r>
            <w:r w:rsidRPr="00D507FC">
              <w:rPr>
                <w:lang w:eastAsia="en-US"/>
              </w:rPr>
              <w:t xml:space="preserve"> </w:t>
            </w:r>
            <w:r w:rsidRPr="00D507FC">
              <w:t>ekspertas, pirmos kategorijos psichologas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7</w:t>
            </w:r>
            <w:r w:rsidRPr="00D507FC">
              <w:t>,93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 xml:space="preserve"> 8</w:t>
            </w:r>
            <w:r w:rsidRPr="00D507FC">
              <w:t>,13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D507FC" w:rsidRDefault="00C92A59" w:rsidP="0076645B">
            <w:pPr>
              <w:spacing w:line="254" w:lineRule="auto"/>
            </w:pPr>
            <w:r>
              <w:t>8</w:t>
            </w:r>
            <w:r w:rsidRPr="00D507FC">
              <w:t>,28</w:t>
            </w:r>
          </w:p>
        </w:tc>
      </w:tr>
    </w:tbl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20</w:t>
      </w:r>
      <w:r w:rsidRPr="00D507FC">
        <w:rPr>
          <w:lang w:eastAsia="en-US"/>
        </w:rPr>
        <w:t>. Pareiginės algos pastoviosios dalies koeficientai dėl veiklos sudėtingumo:</w:t>
      </w:r>
    </w:p>
    <w:p w:rsidR="00C92A59" w:rsidRPr="00AC77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20</w:t>
      </w:r>
      <w:r w:rsidRPr="00AC7759">
        <w:rPr>
          <w:lang w:eastAsia="en-US"/>
        </w:rPr>
        <w:t>.1. didinami 10</w:t>
      </w:r>
      <w:r w:rsidRPr="00AC7759">
        <w:rPr>
          <w:lang w:val="en-US" w:eastAsia="en-US"/>
        </w:rPr>
        <w:t>%</w:t>
      </w:r>
      <w:r w:rsidRPr="00AC7759">
        <w:rPr>
          <w:lang w:eastAsia="en-US"/>
        </w:rPr>
        <w:t xml:space="preserve"> socialiniam pedagogui, psichologo asistentui,</w:t>
      </w:r>
      <w:r>
        <w:rPr>
          <w:lang w:eastAsia="en-US"/>
        </w:rPr>
        <w:t xml:space="preserve"> </w:t>
      </w:r>
      <w:r w:rsidRPr="00AC7759">
        <w:rPr>
          <w:lang w:eastAsia="en-US"/>
        </w:rPr>
        <w:t>20</w:t>
      </w:r>
      <w:r w:rsidRPr="00AC7759">
        <w:rPr>
          <w:lang w:val="en-US" w:eastAsia="en-US"/>
        </w:rPr>
        <w:t>%</w:t>
      </w:r>
      <w:r>
        <w:rPr>
          <w:lang w:val="en-US" w:eastAsia="en-US"/>
        </w:rPr>
        <w:t xml:space="preserve"> </w:t>
      </w:r>
      <w:r w:rsidRPr="00A320E3">
        <w:t>–</w:t>
      </w:r>
      <w:r w:rsidRPr="00AC7759">
        <w:rPr>
          <w:lang w:eastAsia="en-US"/>
        </w:rPr>
        <w:t xml:space="preserve"> psichologui, dirbantiems:</w:t>
      </w:r>
    </w:p>
    <w:p w:rsidR="00C92A59" w:rsidRPr="00930C68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20.1.1. su mokiniams turinčiais įgimtus ar įgytus didelius ar labai didelius specialiuosius ugdymosi poreikius</w:t>
      </w:r>
      <w:r w:rsidRPr="00930C68">
        <w:rPr>
          <w:lang w:eastAsia="en-US"/>
        </w:rPr>
        <w:t xml:space="preserve">; 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 xml:space="preserve">20.1.2. su </w:t>
      </w:r>
      <w:r w:rsidRPr="00930C68">
        <w:rPr>
          <w:lang w:eastAsia="en-US"/>
        </w:rPr>
        <w:t>mokiniams, dėl nepalankių aplinkos veiksnių turintiems</w:t>
      </w:r>
      <w:r>
        <w:rPr>
          <w:lang w:eastAsia="en-US"/>
        </w:rPr>
        <w:t xml:space="preserve"> specialiųjų ugdymosi poreikių;</w:t>
      </w:r>
    </w:p>
    <w:p w:rsidR="00C92A59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 xml:space="preserve">20.1.3. didinama </w:t>
      </w:r>
      <w:r w:rsidRPr="00AC7759">
        <w:rPr>
          <w:lang w:eastAsia="en-US"/>
        </w:rPr>
        <w:t>10</w:t>
      </w:r>
      <w:r w:rsidRPr="00AC7759">
        <w:rPr>
          <w:lang w:val="en-US" w:eastAsia="en-US"/>
        </w:rPr>
        <w:t>%</w:t>
      </w:r>
      <w:r>
        <w:rPr>
          <w:lang w:val="en-US" w:eastAsia="en-US"/>
        </w:rPr>
        <w:t xml:space="preserve"> už padidėjusį virškrūvį, respublikinių, europinių projektų vykdymą.</w:t>
      </w:r>
    </w:p>
    <w:p w:rsidR="00C92A59" w:rsidRPr="00930C68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 xml:space="preserve">21. </w:t>
      </w:r>
      <w:r w:rsidRPr="00930C68">
        <w:rPr>
          <w:lang w:eastAsia="en-US"/>
        </w:rPr>
        <w:t xml:space="preserve">Socialinių pedagogų, dirbančių mokyklose, darbo laikas per savaitę yra 36 valandos. </w:t>
      </w:r>
    </w:p>
    <w:p w:rsidR="00C92A59" w:rsidRPr="00930C68" w:rsidRDefault="00C92A59" w:rsidP="00C92A59">
      <w:pPr>
        <w:ind w:firstLine="720"/>
        <w:jc w:val="center"/>
        <w:rPr>
          <w:lang w:eastAsia="en-US"/>
        </w:rPr>
      </w:pPr>
    </w:p>
    <w:p w:rsidR="00C92A59" w:rsidRPr="007214E6" w:rsidRDefault="00C92A59" w:rsidP="00C92A59">
      <w:pPr>
        <w:jc w:val="center"/>
        <w:rPr>
          <w:b/>
          <w:lang w:eastAsia="en-US"/>
        </w:rPr>
      </w:pPr>
      <w:r>
        <w:rPr>
          <w:b/>
          <w:lang w:eastAsia="en-US"/>
        </w:rPr>
        <w:t>V</w:t>
      </w:r>
      <w:r w:rsidRPr="007214E6">
        <w:rPr>
          <w:b/>
          <w:lang w:eastAsia="en-US"/>
        </w:rPr>
        <w:t xml:space="preserve"> SKYRIUS</w:t>
      </w:r>
    </w:p>
    <w:p w:rsidR="00C92A59" w:rsidRPr="007214E6" w:rsidRDefault="00C92A59" w:rsidP="00C92A59">
      <w:pPr>
        <w:jc w:val="center"/>
        <w:rPr>
          <w:b/>
          <w:lang w:eastAsia="en-US"/>
        </w:rPr>
      </w:pPr>
      <w:r w:rsidRPr="007214E6">
        <w:rPr>
          <w:b/>
          <w:lang w:eastAsia="en-US"/>
        </w:rPr>
        <w:t>AKOMPANIATORIŲ PAREIGINIŲ ALGŲ PASTOVIOSIOS DALIES KOEFICIENTAI IR DARBO KRŪVIO SANDARA</w:t>
      </w:r>
    </w:p>
    <w:p w:rsidR="00C92A59" w:rsidRPr="007214E6" w:rsidRDefault="00C92A59" w:rsidP="00C92A59">
      <w:pPr>
        <w:ind w:firstLine="720"/>
        <w:jc w:val="center"/>
        <w:rPr>
          <w:lang w:eastAsia="en-US"/>
        </w:rPr>
      </w:pPr>
    </w:p>
    <w:p w:rsidR="00C92A59" w:rsidRPr="007214E6" w:rsidRDefault="00C92A59" w:rsidP="00C92A59">
      <w:pPr>
        <w:ind w:firstLine="1080"/>
        <w:jc w:val="both"/>
        <w:rPr>
          <w:lang w:eastAsia="en-US"/>
        </w:rPr>
      </w:pPr>
      <w:r>
        <w:rPr>
          <w:lang w:eastAsia="en-US"/>
        </w:rPr>
        <w:t>22</w:t>
      </w:r>
      <w:r w:rsidRPr="007214E6">
        <w:rPr>
          <w:lang w:eastAsia="en-US"/>
        </w:rPr>
        <w:t xml:space="preserve">. Šiame skyriuje nurodytų darbuotojų pareiginės algos pastoviosios dalies </w:t>
      </w:r>
      <w:r>
        <w:rPr>
          <w:lang w:eastAsia="en-US"/>
        </w:rPr>
        <w:t>k</w:t>
      </w:r>
      <w:r w:rsidRPr="007214E6">
        <w:rPr>
          <w:lang w:eastAsia="en-US"/>
        </w:rPr>
        <w:t>oeficientai: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808"/>
        <w:gridCol w:w="1080"/>
        <w:gridCol w:w="1418"/>
        <w:gridCol w:w="1416"/>
        <w:gridCol w:w="2926"/>
      </w:tblGrid>
      <w:tr w:rsidR="00C92A59" w:rsidRPr="007214E6" w:rsidTr="0076645B">
        <w:trPr>
          <w:trHeight w:val="236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Pareigybė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Pastoviosios dalies koeficientai (pareiginės algos baziniais dydžiais)</w:t>
            </w:r>
          </w:p>
        </w:tc>
      </w:tr>
      <w:tr w:rsidR="00C92A59" w:rsidRPr="007214E6" w:rsidTr="0076645B">
        <w:trPr>
          <w:trHeight w:val="12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Pedagoginio darbo stažas (metais)</w:t>
            </w:r>
          </w:p>
        </w:tc>
      </w:tr>
      <w:tr w:rsidR="00C92A59" w:rsidRPr="007214E6" w:rsidTr="0076645B">
        <w:trPr>
          <w:trHeight w:val="27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Iki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Nuo daugiau kaip 3 iki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Nuo daugiau kaip 10 iki 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Daugiau kaip 15</w:t>
            </w:r>
          </w:p>
        </w:tc>
      </w:tr>
      <w:tr w:rsidR="00C92A59" w:rsidRPr="007214E6" w:rsidTr="0076645B">
        <w:trPr>
          <w:trHeight w:val="30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jc w:val="center"/>
              <w:rPr>
                <w:color w:val="000000"/>
                <w:sz w:val="23"/>
                <w:szCs w:val="23"/>
              </w:rPr>
            </w:pPr>
            <w:r w:rsidRPr="00851FEE">
              <w:rPr>
                <w:color w:val="000000"/>
                <w:sz w:val="23"/>
                <w:szCs w:val="23"/>
              </w:rPr>
              <w:t>Nesuteiktos kvalifikacinės kategorijos</w:t>
            </w:r>
          </w:p>
        </w:tc>
      </w:tr>
      <w:tr w:rsidR="00C92A59" w:rsidRPr="007214E6" w:rsidTr="0076645B">
        <w:trPr>
          <w:trHeight w:val="29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rPr>
                <w:sz w:val="23"/>
                <w:szCs w:val="23"/>
              </w:rPr>
            </w:pPr>
            <w:r w:rsidRPr="00851FEE">
              <w:rPr>
                <w:sz w:val="23"/>
                <w:szCs w:val="23"/>
              </w:rPr>
              <w:t>Akompaniatorius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Pr="00851FEE">
              <w:rPr>
                <w:sz w:val="23"/>
                <w:szCs w:val="23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Pr="00851FEE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Pr="00851FEE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Pr="00851FEE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C92A59" w:rsidRPr="007214E6" w:rsidTr="0076645B">
        <w:trPr>
          <w:trHeight w:val="293"/>
        </w:trPr>
        <w:tc>
          <w:tcPr>
            <w:tcW w:w="9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jc w:val="center"/>
              <w:rPr>
                <w:sz w:val="23"/>
                <w:szCs w:val="23"/>
              </w:rPr>
            </w:pPr>
            <w:r w:rsidRPr="00851FEE">
              <w:rPr>
                <w:sz w:val="23"/>
                <w:szCs w:val="23"/>
              </w:rPr>
              <w:t>Pedagoginio darbo stažas (metais)</w:t>
            </w:r>
          </w:p>
        </w:tc>
      </w:tr>
      <w:tr w:rsidR="00C92A59" w:rsidRPr="007214E6" w:rsidTr="0076645B">
        <w:trPr>
          <w:trHeight w:val="2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851FEE" w:rsidRDefault="00C92A59" w:rsidP="0076645B">
            <w:pPr>
              <w:spacing w:line="254" w:lineRule="auto"/>
              <w:ind w:firstLine="62"/>
              <w:rPr>
                <w:color w:val="00000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</w:pPr>
            <w:r w:rsidRPr="00851FEE">
              <w:t>Iki 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</w:pPr>
            <w:r w:rsidRPr="00851FEE">
              <w:t>Nuo daugiau kaip 10 iki 15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851FEE" w:rsidRDefault="00C92A59" w:rsidP="0076645B">
            <w:pPr>
              <w:spacing w:line="254" w:lineRule="auto"/>
              <w:jc w:val="center"/>
            </w:pPr>
            <w:r w:rsidRPr="00851FEE">
              <w:t>Daugiau kaip 15</w:t>
            </w:r>
          </w:p>
        </w:tc>
      </w:tr>
      <w:tr w:rsidR="00C92A59" w:rsidRPr="007214E6" w:rsidTr="0076645B">
        <w:trPr>
          <w:trHeight w:val="30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7214E6" w:rsidRDefault="00C92A59" w:rsidP="0076645B">
            <w:pPr>
              <w:spacing w:line="254" w:lineRule="auto"/>
              <w:jc w:val="center"/>
            </w:pPr>
            <w:r w:rsidRPr="007214E6">
              <w:t>Suteiktos kvalifikacinės kategorijos</w:t>
            </w:r>
          </w:p>
        </w:tc>
      </w:tr>
      <w:tr w:rsidR="00C92A59" w:rsidRPr="007214E6" w:rsidTr="0076645B">
        <w:trPr>
          <w:trHeight w:val="1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214E6">
              <w:rPr>
                <w:color w:val="000000"/>
              </w:rPr>
              <w:t>kompaniatorius</w:t>
            </w:r>
            <w:r w:rsidRPr="007214E6">
              <w:rPr>
                <w:strike/>
                <w:highlight w:val="yellow"/>
              </w:rPr>
              <w:t xml:space="preserve">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5,4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5,45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5,5</w:t>
            </w:r>
          </w:p>
        </w:tc>
      </w:tr>
      <w:tr w:rsidR="00C92A59" w:rsidRPr="007214E6" w:rsidTr="0076645B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r>
              <w:rPr>
                <w:color w:val="000000"/>
              </w:rPr>
              <w:t>Vyresnysis a</w:t>
            </w:r>
            <w:r w:rsidRPr="007214E6">
              <w:rPr>
                <w:color w:val="000000"/>
              </w:rPr>
              <w:t>kompaniatorius</w:t>
            </w:r>
            <w:r w:rsidRPr="007214E6">
              <w:t xml:space="preserve">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rPr>
                <w:lang w:eastAsia="en-US"/>
              </w:rPr>
              <w:t>5</w:t>
            </w:r>
            <w:r w:rsidRPr="007214E6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5,65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5,7</w:t>
            </w:r>
          </w:p>
        </w:tc>
      </w:tr>
      <w:tr w:rsidR="00C92A59" w:rsidRPr="007214E6" w:rsidTr="0076645B">
        <w:trPr>
          <w:trHeight w:val="1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</w:t>
            </w:r>
            <w:r w:rsidRPr="007214E6">
              <w:rPr>
                <w:color w:val="000000"/>
              </w:rPr>
              <w:t>kompaniatorius metodininkas</w:t>
            </w:r>
            <w:r w:rsidRPr="007214E6">
              <w:t xml:space="preserve">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 w:rsidRPr="007214E6">
              <w:t>5,</w:t>
            </w:r>
            <w: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5,8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 w:rsidRPr="007214E6">
              <w:t>5,</w:t>
            </w:r>
            <w:r>
              <w:t>8</w:t>
            </w:r>
            <w:r w:rsidRPr="007214E6">
              <w:t>5</w:t>
            </w:r>
          </w:p>
        </w:tc>
      </w:tr>
      <w:tr w:rsidR="00C92A59" w:rsidRPr="007214E6" w:rsidTr="0076645B">
        <w:trPr>
          <w:trHeight w:val="1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Akompaniatorius e</w:t>
            </w:r>
            <w:r w:rsidRPr="007214E6">
              <w:rPr>
                <w:color w:val="000000"/>
              </w:rPr>
              <w:t>ks</w:t>
            </w:r>
            <w:r>
              <w:rPr>
                <w:color w:val="000000"/>
              </w:rPr>
              <w:t>pertas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 w:rsidRPr="007214E6">
              <w:t>5,95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 w:rsidRPr="007214E6">
              <w:t>6,02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59" w:rsidRPr="007214E6" w:rsidRDefault="00C92A59" w:rsidP="0076645B">
            <w:pPr>
              <w:spacing w:line="254" w:lineRule="auto"/>
            </w:pPr>
            <w:r>
              <w:t>6</w:t>
            </w:r>
            <w:r w:rsidRPr="007214E6">
              <w:t>,</w:t>
            </w:r>
            <w:r>
              <w:t>17</w:t>
            </w:r>
          </w:p>
        </w:tc>
      </w:tr>
    </w:tbl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  <w:r>
        <w:t>23. Akompaniatorių, dirbančių mokykloje, darbo laikas per savaitę yra 26 valandos, iš jų 24 valandos skiriamos tiesioginiam darbui su mokiniais, 2 valandos – netiesioginiam darbui su mokiniais (darbams planuoti, dokumentams, susijusiems su ugdymu, rengti, bendradarbiauti su mokytojais, tėvais(globėjais, rūpintojais) ugdymo klausimais.</w:t>
      </w: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</wp:posOffset>
                </wp:positionV>
                <wp:extent cx="2171700" cy="0"/>
                <wp:effectExtent l="9525" t="10160" r="9525" b="889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7E59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45pt" to="3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"/>
            </w:pict>
          </mc:Fallback>
        </mc:AlternateContent>
      </w:r>
    </w:p>
    <w:p w:rsidR="00C92A59" w:rsidRDefault="00C92A59" w:rsidP="00C92A59">
      <w:pPr>
        <w:autoSpaceDE w:val="0"/>
        <w:autoSpaceDN w:val="0"/>
        <w:adjustRightInd w:val="0"/>
        <w:ind w:firstLine="1080"/>
        <w:jc w:val="both"/>
      </w:pPr>
    </w:p>
    <w:p w:rsidR="00C92A59" w:rsidRDefault="00C92A59" w:rsidP="00C92A59">
      <w:pPr>
        <w:autoSpaceDE w:val="0"/>
        <w:autoSpaceDN w:val="0"/>
        <w:adjustRightInd w:val="0"/>
        <w:jc w:val="both"/>
      </w:pPr>
    </w:p>
    <w:p w:rsidR="00C92A59" w:rsidRDefault="00C92A59" w:rsidP="00C92A59">
      <w:pPr>
        <w:autoSpaceDE w:val="0"/>
        <w:autoSpaceDN w:val="0"/>
        <w:adjustRightInd w:val="0"/>
        <w:jc w:val="both"/>
      </w:pPr>
    </w:p>
    <w:p w:rsidR="00C92A59" w:rsidRDefault="00C92A59" w:rsidP="00C92A59">
      <w:pPr>
        <w:autoSpaceDE w:val="0"/>
        <w:autoSpaceDN w:val="0"/>
        <w:adjustRightInd w:val="0"/>
        <w:jc w:val="both"/>
      </w:pPr>
    </w:p>
    <w:p w:rsidR="00C92A59" w:rsidRDefault="00C92A59" w:rsidP="00C92A59">
      <w:pPr>
        <w:autoSpaceDE w:val="0"/>
        <w:autoSpaceDN w:val="0"/>
        <w:adjustRightInd w:val="0"/>
        <w:jc w:val="both"/>
      </w:pPr>
    </w:p>
    <w:p w:rsidR="00BB4E5A" w:rsidRDefault="00BB4E5A"/>
    <w:sectPr w:rsidR="00BB4E5A" w:rsidSect="00C25213">
      <w:headerReference w:type="even" r:id="rId6"/>
      <w:headerReference w:type="default" r:id="rId7"/>
      <w:pgSz w:w="11906" w:h="16838"/>
      <w:pgMar w:top="1135" w:right="566" w:bottom="851" w:left="180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E5" w:rsidRDefault="00FC2CE5">
      <w:r>
        <w:separator/>
      </w:r>
    </w:p>
  </w:endnote>
  <w:endnote w:type="continuationSeparator" w:id="0">
    <w:p w:rsidR="00FC2CE5" w:rsidRDefault="00FC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E5" w:rsidRDefault="00FC2CE5">
      <w:r>
        <w:separator/>
      </w:r>
    </w:p>
  </w:footnote>
  <w:footnote w:type="continuationSeparator" w:id="0">
    <w:p w:rsidR="00FC2CE5" w:rsidRDefault="00FC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4E" w:rsidRDefault="00C25213" w:rsidP="003238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A214E" w:rsidRDefault="00FC2CE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4E" w:rsidRDefault="00C25213" w:rsidP="003238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5295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4A214E" w:rsidRDefault="00FC2CE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59"/>
    <w:rsid w:val="008B5295"/>
    <w:rsid w:val="00BB4E5A"/>
    <w:rsid w:val="00C25213"/>
    <w:rsid w:val="00C92A59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17B8-0D7C-437C-B23A-57923F3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92A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92A5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92A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A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A5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8121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cp:lastPrinted>2021-01-08T10:05:00Z</cp:lastPrinted>
  <dcterms:created xsi:type="dcterms:W3CDTF">2021-01-08T14:06:00Z</dcterms:created>
  <dcterms:modified xsi:type="dcterms:W3CDTF">2021-01-08T14:06:00Z</dcterms:modified>
</cp:coreProperties>
</file>